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37" w:rsidRPr="00A007A4" w:rsidRDefault="00C00E37" w:rsidP="00A007A4">
      <w:pPr>
        <w:spacing w:line="440" w:lineRule="exact"/>
        <w:jc w:val="center"/>
        <w:rPr>
          <w:rFonts w:ascii="Times New Roman" w:eastAsia="標楷體" w:hAnsi="Times New Roman" w:hint="eastAsia"/>
          <w:b/>
          <w:sz w:val="36"/>
          <w:szCs w:val="36"/>
        </w:rPr>
      </w:pPr>
      <w:r w:rsidRPr="00A007A4">
        <w:rPr>
          <w:rFonts w:ascii="Times New Roman" w:eastAsia="標楷體" w:hAnsi="Times New Roman" w:hint="eastAsia"/>
          <w:b/>
          <w:sz w:val="36"/>
          <w:szCs w:val="36"/>
        </w:rPr>
        <w:t>全國高級中等學校學生技藝競賽實施要點</w:t>
      </w:r>
    </w:p>
    <w:p w:rsidR="00C00E37" w:rsidRPr="00B4022F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一、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教育部為增強</w:t>
      </w:r>
      <w:r w:rsidR="008415B8"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全國</w:t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高級中等學校（以下簡稱學校</w:t>
      </w:r>
      <w:r w:rsidR="008415B8"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）學生技藝學習動機，促進學校技藝交流及觀摩，提升學生技藝水準，並舉辦全國高級中等學校學生技藝競賽（以下簡稱本競賽），特</w:t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訂定本要點。</w:t>
      </w:r>
    </w:p>
    <w:p w:rsidR="00C00E37" w:rsidRPr="00B4022F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B4022F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本競賽分為工業類、農業類、商業類、家事類及海事類；並依各類之競賽職種，分別辦理之。</w:t>
      </w:r>
    </w:p>
    <w:p w:rsidR="00C00E37" w:rsidRPr="00B4022F" w:rsidRDefault="00C00E37" w:rsidP="00A007A4">
      <w:pPr>
        <w:spacing w:line="460" w:lineRule="exact"/>
        <w:ind w:leftChars="225" w:left="540"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前項競賽應於每年十一月一日至十二月三十一日間辦理完成。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 w:rsidRPr="00B4022F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本競賽由教育部國民及學前教育署（以下簡稱國教署）、臺北市政府教育局、高雄市政府教育局</w:t>
      </w:r>
      <w:r w:rsidR="008415B8"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及新北市政府教育局，</w:t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依協議</w:t>
      </w:r>
      <w:r w:rsidR="008415B8"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輪流</w:t>
      </w:r>
      <w:r w:rsidRPr="00B4022F">
        <w:rPr>
          <w:rFonts w:ascii="Times New Roman" w:eastAsia="標楷體" w:hAnsi="Times New Roman" w:hint="eastAsia"/>
          <w:color w:val="000000"/>
          <w:sz w:val="28"/>
          <w:szCs w:val="28"/>
        </w:rPr>
        <w:t>擔任</w:t>
      </w:r>
      <w:r w:rsidRPr="00A007A4">
        <w:rPr>
          <w:rFonts w:ascii="Times New Roman" w:eastAsia="標楷體" w:hAnsi="Times New Roman" w:hint="eastAsia"/>
          <w:sz w:val="28"/>
          <w:szCs w:val="28"/>
        </w:rPr>
        <w:t>主辦機關，並指定承辦學校辦理之。</w:t>
      </w:r>
    </w:p>
    <w:p w:rsidR="00C00E37" w:rsidRPr="00A007A4" w:rsidRDefault="008415B8" w:rsidP="00A007A4">
      <w:pPr>
        <w:spacing w:line="460" w:lineRule="exact"/>
        <w:ind w:leftChars="225" w:left="540" w:firstLineChars="200" w:firstLine="56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承辦學校應擬</w:t>
      </w:r>
      <w:r w:rsidR="00C00E37" w:rsidRPr="00A007A4">
        <w:rPr>
          <w:rFonts w:ascii="Times New Roman" w:eastAsia="標楷體" w:hAnsi="Times New Roman" w:hint="eastAsia"/>
          <w:sz w:val="28"/>
          <w:szCs w:val="28"/>
        </w:rPr>
        <w:t>訂各類競賽實施計畫，經</w:t>
      </w:r>
      <w:r w:rsidRPr="00A007A4">
        <w:rPr>
          <w:rFonts w:ascii="Times New Roman" w:eastAsia="標楷體" w:hAnsi="Times New Roman" w:hint="eastAsia"/>
          <w:sz w:val="28"/>
          <w:szCs w:val="28"/>
        </w:rPr>
        <w:t>技藝競賽委員會</w:t>
      </w:r>
      <w:r w:rsidR="00C00E37" w:rsidRPr="00A007A4">
        <w:rPr>
          <w:rFonts w:ascii="Times New Roman" w:eastAsia="標楷體" w:hAnsi="Times New Roman" w:hint="eastAsia"/>
          <w:sz w:val="28"/>
          <w:szCs w:val="28"/>
        </w:rPr>
        <w:t>通過後實施。</w:t>
      </w:r>
    </w:p>
    <w:p w:rsidR="00056288" w:rsidRPr="00B97465" w:rsidRDefault="00C00E37" w:rsidP="00B97465">
      <w:pPr>
        <w:spacing w:line="460" w:lineRule="exact"/>
        <w:ind w:leftChars="-1" w:left="564" w:hangingChars="202" w:hanging="566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四、</w:t>
      </w:r>
      <w:r w:rsidR="00B97465" w:rsidRPr="00B97465">
        <w:rPr>
          <w:rFonts w:ascii="Times New Roman" w:eastAsia="標楷體" w:hAnsi="Times New Roman" w:hint="eastAsia"/>
          <w:color w:val="000000"/>
          <w:sz w:val="28"/>
          <w:szCs w:val="28"/>
        </w:rPr>
        <w:t>主辦機關辦理本競賽，應依各類競賽分別組成技藝競賽委員會，置委員若干人，其中主任委員由主辦機關首長擔任，副主任委員由其副首長擔任，其餘委員由主辦機關擬具名單，經主任委員核定後聘任之。</w:t>
      </w:r>
    </w:p>
    <w:p w:rsidR="00C00E37" w:rsidRPr="00A007A4" w:rsidRDefault="00C00E37" w:rsidP="00056288">
      <w:pPr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各類技藝競賽委員會下設競賽工作會、命題及評判工作會、申訴及緊急應變小組；其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成員及組織</w:t>
      </w:r>
      <w:r w:rsidRPr="00A007A4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C00E37" w:rsidRPr="00A007A4" w:rsidRDefault="00C00E37" w:rsidP="00A007A4">
      <w:pPr>
        <w:spacing w:line="460" w:lineRule="exact"/>
        <w:ind w:leftChars="425" w:left="1930" w:hangingChars="325" w:hanging="91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（一）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競賽工作會：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1.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置總幹事一人，由主任委員就承辦學校校長聘兼之；副總幹事若干人，由主任委員就其他學校校長聘兼之。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2.</w:t>
      </w:r>
      <w:r w:rsidRPr="00A007A4">
        <w:rPr>
          <w:rFonts w:ascii="Times New Roman" w:eastAsia="標楷體" w:hAnsi="Times New Roman" w:hint="eastAsia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得置執行秘書一人，由總幹事就承辦學校相關人員派兼之。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3.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得設規劃組、競賽組、命題評判庶務組、成績組、典禮組、總務組、主（會）計組、公關組、資訊文宣組、服務組、交通組等工作組；每組置組長一人，副組長及組員若干人，均由承辦學校或其他學校相關人員擔任。</w:t>
      </w:r>
    </w:p>
    <w:p w:rsidR="00C00E37" w:rsidRPr="00A007A4" w:rsidRDefault="00C00E37" w:rsidP="00A007A4">
      <w:pPr>
        <w:spacing w:line="460" w:lineRule="exact"/>
        <w:ind w:leftChars="425" w:left="1930" w:hangingChars="325" w:hanging="91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（二）</w:t>
      </w:r>
      <w:r w:rsidRPr="00A007A4">
        <w:rPr>
          <w:rFonts w:ascii="Times New Roman" w:eastAsia="標楷體" w:hAnsi="Times New Roman" w:hint="eastAsia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命題及評判工作會：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1.</w:t>
      </w:r>
      <w:r w:rsidRPr="00A007A4">
        <w:rPr>
          <w:rFonts w:ascii="Times New Roman" w:eastAsia="標楷體" w:hAnsi="Times New Roman" w:hint="eastAsia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置總召集人一人，並得置副總召集人一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人</w:t>
      </w:r>
      <w:r w:rsidRPr="00A007A4">
        <w:rPr>
          <w:rFonts w:ascii="Times New Roman" w:eastAsia="標楷體" w:hAnsi="Times New Roman" w:hint="eastAsia"/>
          <w:sz w:val="28"/>
          <w:szCs w:val="28"/>
        </w:rPr>
        <w:t>至二人，均由主任委員就學者專家聘兼之。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2.</w:t>
      </w:r>
      <w:r w:rsidRPr="00A007A4">
        <w:rPr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各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類之競賽</w:t>
      </w:r>
      <w:r w:rsidRPr="00A007A4">
        <w:rPr>
          <w:rFonts w:ascii="Times New Roman" w:eastAsia="標楷體" w:hAnsi="Times New Roman" w:hint="eastAsia"/>
          <w:sz w:val="28"/>
          <w:szCs w:val="28"/>
        </w:rPr>
        <w:t>職種置召集人一人、命題及評判委員若干人，均由總召集人擬具名單，經主任委員核定後聘兼之。</w:t>
      </w:r>
    </w:p>
    <w:p w:rsidR="00C00E37" w:rsidRPr="00A007A4" w:rsidRDefault="00C00E37" w:rsidP="00A007A4">
      <w:pPr>
        <w:spacing w:line="460" w:lineRule="exact"/>
        <w:ind w:leftChars="750" w:left="2080" w:hangingChars="100" w:hanging="28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3.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得設秘書組，組員由總召集人指定相關人員擔任。</w:t>
      </w:r>
    </w:p>
    <w:p w:rsidR="00C00E37" w:rsidRPr="00A007A4" w:rsidRDefault="00C00E37" w:rsidP="00A007A4">
      <w:pPr>
        <w:spacing w:line="460" w:lineRule="exact"/>
        <w:ind w:leftChars="425" w:left="1930" w:hangingChars="325" w:hanging="91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（三）</w:t>
      </w:r>
      <w:r w:rsidRPr="00A007A4">
        <w:rPr>
          <w:rFonts w:ascii="Times New Roman" w:eastAsia="標楷體" w:hAnsi="Times New Roman" w:hint="eastAsia"/>
          <w:sz w:val="28"/>
          <w:szCs w:val="28"/>
        </w:rPr>
        <w:tab/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申訴及緊急應變小組：</w:t>
      </w:r>
      <w:r w:rsidRPr="00A007A4">
        <w:rPr>
          <w:rFonts w:ascii="Times New Roman" w:eastAsia="標楷體" w:hAnsi="Times New Roman" w:hint="eastAsia"/>
          <w:sz w:val="28"/>
          <w:szCs w:val="28"/>
        </w:rPr>
        <w:t>置委員五人，由副主任委員、競賽工作會</w:t>
      </w:r>
      <w:r w:rsidRPr="00A007A4">
        <w:rPr>
          <w:rFonts w:ascii="Times New Roman" w:eastAsia="標楷體" w:hAnsi="Times New Roman" w:hint="eastAsia"/>
          <w:sz w:val="28"/>
          <w:szCs w:val="28"/>
        </w:rPr>
        <w:lastRenderedPageBreak/>
        <w:t>總幹事、副總幹事、命題及評判工</w:t>
      </w:r>
      <w:r w:rsidR="00896008">
        <w:rPr>
          <w:rFonts w:ascii="Times New Roman" w:eastAsia="標楷體" w:hAnsi="Times New Roman" w:hint="eastAsia"/>
          <w:sz w:val="28"/>
          <w:szCs w:val="28"/>
        </w:rPr>
        <w:t>作會總召集人擔任，其中一人為召集人，由主任委員指定副主任委員</w:t>
      </w:r>
      <w:r w:rsidR="00CB288F">
        <w:rPr>
          <w:rFonts w:ascii="Times New Roman" w:eastAsia="標楷體" w:hAnsi="Times New Roman" w:hint="eastAsia"/>
          <w:sz w:val="28"/>
          <w:szCs w:val="28"/>
        </w:rPr>
        <w:t>一人</w:t>
      </w:r>
      <w:r w:rsidRPr="00A007A4">
        <w:rPr>
          <w:rFonts w:ascii="Times New Roman" w:eastAsia="標楷體" w:hAnsi="Times New Roman" w:hint="eastAsia"/>
          <w:sz w:val="28"/>
          <w:szCs w:val="28"/>
        </w:rPr>
        <w:t>擔任。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五、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參加本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競賽之學生，為設有專業群、科、綜合高中專門學程之</w:t>
      </w:r>
      <w:r w:rsidRPr="00A007A4">
        <w:rPr>
          <w:rFonts w:ascii="Times New Roman" w:eastAsia="標楷體" w:hAnsi="Times New Roman" w:hint="eastAsia"/>
          <w:sz w:val="28"/>
          <w:szCs w:val="28"/>
        </w:rPr>
        <w:t>學校應屆畢（結）業學生。</w:t>
      </w:r>
    </w:p>
    <w:p w:rsidR="00C00E37" w:rsidRPr="00A007A4" w:rsidRDefault="00C00E37" w:rsidP="00B1081A">
      <w:pPr>
        <w:spacing w:line="460" w:lineRule="exact"/>
        <w:ind w:leftChars="225" w:left="540" w:firstLineChars="212" w:firstLine="594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前項學生，不包括延修生。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六、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本競賽參賽學生應依各類技藝競賽委員會所定名額，經學校內選拔學生代表參加。</w:t>
      </w:r>
    </w:p>
    <w:p w:rsidR="00C00E37" w:rsidRPr="00A007A4" w:rsidRDefault="00C00E37" w:rsidP="00325740">
      <w:pPr>
        <w:spacing w:line="460" w:lineRule="exact"/>
        <w:ind w:leftChars="225" w:left="540" w:firstLineChars="212" w:firstLine="594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各類競賽職種，得視其參賽人數辦理資格賽。</w:t>
      </w:r>
    </w:p>
    <w:p w:rsidR="00C00E37" w:rsidRPr="00A007A4" w:rsidRDefault="00C00E37" w:rsidP="00A007A4">
      <w:pPr>
        <w:spacing w:line="460" w:lineRule="exact"/>
        <w:ind w:leftChars="236" w:left="566" w:firstLineChars="200" w:firstLine="56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各類競賽職種之參賽人數較少者，得由學校提供參賽名單後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，</w:t>
      </w:r>
      <w:r w:rsidR="00EE241C">
        <w:rPr>
          <w:rFonts w:ascii="Times New Roman" w:eastAsia="標楷體" w:hAnsi="Times New Roman" w:hint="eastAsia"/>
          <w:sz w:val="28"/>
          <w:szCs w:val="28"/>
        </w:rPr>
        <w:t>經承辦學校就名單抽籤選出參賽</w:t>
      </w:r>
      <w:r w:rsidRPr="00A007A4">
        <w:rPr>
          <w:rFonts w:ascii="Times New Roman" w:eastAsia="標楷體" w:hAnsi="Times New Roman" w:hint="eastAsia"/>
          <w:sz w:val="28"/>
          <w:szCs w:val="28"/>
        </w:rPr>
        <w:t>者；其辦理程序，依第三點第二項各類競賽實施計畫之規定。</w:t>
      </w:r>
    </w:p>
    <w:p w:rsidR="00B1081A" w:rsidRPr="00B1081A" w:rsidRDefault="00C00E37" w:rsidP="00B1081A">
      <w:pPr>
        <w:spacing w:line="460" w:lineRule="exact"/>
        <w:ind w:leftChars="25" w:left="690" w:rightChars="25" w:right="60" w:hangingChars="225" w:hanging="63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七、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="00B1081A" w:rsidRPr="00B50F32">
        <w:rPr>
          <w:rFonts w:ascii="Times New Roman" w:eastAsia="標楷體" w:hAnsi="Times New Roman" w:hint="eastAsia"/>
          <w:sz w:val="28"/>
          <w:szCs w:val="28"/>
        </w:rPr>
        <w:t>各類競賽</w:t>
      </w:r>
      <w:r w:rsidR="00B1081A" w:rsidRPr="00B1081A">
        <w:rPr>
          <w:rFonts w:ascii="Times New Roman" w:eastAsia="標楷體" w:hAnsi="Times New Roman" w:hint="eastAsia"/>
          <w:color w:val="000000"/>
          <w:sz w:val="28"/>
          <w:szCs w:val="28"/>
        </w:rPr>
        <w:t>及前點第二項規定之資格賽，分學科及術科測驗；術科測驗成績比率，應占總成績百分之八十以上。</w:t>
      </w:r>
    </w:p>
    <w:p w:rsidR="00C00E37" w:rsidRPr="00A007A4" w:rsidRDefault="00B1081A" w:rsidP="00B1081A">
      <w:pPr>
        <w:spacing w:line="460" w:lineRule="exact"/>
        <w:ind w:leftChars="262" w:left="629" w:firstLineChars="180" w:firstLine="504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B1081A">
        <w:rPr>
          <w:rFonts w:ascii="Times New Roman" w:eastAsia="標楷體" w:hAnsi="Times New Roman" w:hint="eastAsia"/>
          <w:color w:val="000000"/>
          <w:sz w:val="28"/>
          <w:szCs w:val="28"/>
        </w:rPr>
        <w:t>前項之命題</w:t>
      </w:r>
      <w:r w:rsidRPr="00B50F32">
        <w:rPr>
          <w:rFonts w:ascii="Times New Roman" w:eastAsia="標楷體" w:hAnsi="Times New Roman" w:hint="eastAsia"/>
          <w:sz w:val="28"/>
          <w:szCs w:val="28"/>
        </w:rPr>
        <w:t>範圍，以前四學期及舉辦競賽當學期之課程為限。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八、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參賽學生對本競賽成績有異議者，應由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學生及</w:t>
      </w:r>
      <w:r w:rsidRPr="00A007A4">
        <w:rPr>
          <w:rFonts w:ascii="Times New Roman" w:eastAsia="標楷體" w:hAnsi="Times New Roman" w:hint="eastAsia"/>
          <w:sz w:val="28"/>
          <w:szCs w:val="28"/>
        </w:rPr>
        <w:t>領隊或指導教師於本競賽頒獎當日十五時前，以書面詳具理由，向承辦學校提出，交由申訴及緊急應變小組處理。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九、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本競賽所需經費，由國教署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、臺北市政府教育局、高雄市政府教育局與新北市政府教育局編列預算及</w:t>
      </w:r>
      <w:r w:rsidRPr="00A007A4">
        <w:rPr>
          <w:rFonts w:ascii="Times New Roman" w:eastAsia="標楷體" w:hAnsi="Times New Roman" w:hint="eastAsia"/>
          <w:sz w:val="28"/>
          <w:szCs w:val="28"/>
        </w:rPr>
        <w:t>報名費之收入支應；</w:t>
      </w:r>
      <w:r w:rsidR="00660748" w:rsidRPr="00A007A4">
        <w:rPr>
          <w:rFonts w:ascii="Times New Roman" w:eastAsia="標楷體" w:hAnsi="Times New Roman" w:hint="eastAsia"/>
          <w:sz w:val="28"/>
          <w:szCs w:val="28"/>
        </w:rPr>
        <w:t>本</w:t>
      </w:r>
      <w:r w:rsidRPr="00A007A4">
        <w:rPr>
          <w:rFonts w:ascii="Times New Roman" w:eastAsia="標楷體" w:hAnsi="Times New Roman" w:hint="eastAsia"/>
          <w:sz w:val="28"/>
          <w:szCs w:val="28"/>
        </w:rPr>
        <w:t>競賽所需設備及維護費，由主辦機關編列或籌措，補助承辦學校。</w:t>
      </w:r>
    </w:p>
    <w:p w:rsidR="00C00E37" w:rsidRPr="00A007A4" w:rsidRDefault="00C00E37" w:rsidP="00A007A4">
      <w:pPr>
        <w:spacing w:line="460" w:lineRule="exact"/>
        <w:ind w:left="630" w:hangingChars="225" w:hanging="63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A007A4">
        <w:rPr>
          <w:rFonts w:ascii="Times New Roman" w:eastAsia="標楷體" w:hAnsi="Times New Roman" w:hint="eastAsia"/>
          <w:sz w:val="28"/>
          <w:szCs w:val="28"/>
        </w:rPr>
        <w:t>十、</w:t>
      </w:r>
      <w:r w:rsidRPr="00A007A4">
        <w:rPr>
          <w:rFonts w:ascii="Times New Roman" w:eastAsia="標楷體" w:hAnsi="Times New Roman"/>
          <w:sz w:val="28"/>
          <w:szCs w:val="28"/>
        </w:rPr>
        <w:tab/>
      </w:r>
      <w:r w:rsidRPr="00A007A4">
        <w:rPr>
          <w:rFonts w:ascii="Times New Roman" w:eastAsia="標楷體" w:hAnsi="Times New Roman" w:hint="eastAsia"/>
          <w:sz w:val="28"/>
          <w:szCs w:val="28"/>
        </w:rPr>
        <w:t>本競賽結束後，由承辦學校召開檢討會，並將檢討結果作成報告書，作為下次辦理本競賽之參考。</w:t>
      </w: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Default="00C00E37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E541E5" w:rsidRDefault="00E541E5" w:rsidP="00C00E37">
      <w:pPr>
        <w:ind w:left="540" w:hangingChars="225" w:hanging="540"/>
        <w:jc w:val="both"/>
        <w:rPr>
          <w:rFonts w:ascii="Times New Roman" w:eastAsia="標楷體" w:hAnsi="Times New Roman" w:hint="eastAsia"/>
        </w:rPr>
      </w:pPr>
    </w:p>
    <w:p w:rsidR="00C00E37" w:rsidRPr="00C00E37" w:rsidRDefault="00C00E37" w:rsidP="00B50F32">
      <w:pPr>
        <w:spacing w:line="440" w:lineRule="exact"/>
        <w:rPr>
          <w:rFonts w:ascii="Times New Roman" w:eastAsia="標楷體" w:hAnsi="Times New Roman" w:hint="eastAsia"/>
          <w:b/>
          <w:sz w:val="32"/>
        </w:rPr>
      </w:pPr>
    </w:p>
    <w:p w:rsidR="00B64F1D" w:rsidRPr="00E2674A" w:rsidRDefault="00B64F1D" w:rsidP="00DA2CB4">
      <w:pPr>
        <w:spacing w:line="440" w:lineRule="exact"/>
        <w:jc w:val="center"/>
        <w:rPr>
          <w:rFonts w:ascii="Times New Roman" w:eastAsia="標楷體" w:hAnsi="Times New Roman" w:hint="eastAsia"/>
          <w:b/>
          <w:color w:val="000000"/>
          <w:sz w:val="36"/>
          <w:szCs w:val="36"/>
        </w:rPr>
      </w:pPr>
      <w:r w:rsidRPr="00E2674A">
        <w:rPr>
          <w:rFonts w:ascii="Times New Roman" w:eastAsia="標楷體" w:hAnsi="Times New Roman" w:hint="eastAsia"/>
          <w:b/>
          <w:color w:val="000000"/>
          <w:sz w:val="36"/>
          <w:szCs w:val="36"/>
        </w:rPr>
        <w:lastRenderedPageBreak/>
        <w:t>全國高級中等學校學生技藝競賽實施要點</w:t>
      </w:r>
    </w:p>
    <w:p w:rsidR="00B50F32" w:rsidRPr="00E2674A" w:rsidRDefault="00B50F32" w:rsidP="00DA2CB4">
      <w:pPr>
        <w:spacing w:line="44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26"/>
        <w:gridCol w:w="4822"/>
      </w:tblGrid>
      <w:tr w:rsidR="008F7E2F" w:rsidRPr="00E2674A" w:rsidTr="0017237A">
        <w:tc>
          <w:tcPr>
            <w:tcW w:w="4826" w:type="dxa"/>
            <w:shd w:val="clear" w:color="auto" w:fill="D9D9D9"/>
          </w:tcPr>
          <w:p w:rsidR="00B64F1D" w:rsidRPr="00E2674A" w:rsidRDefault="006A711A" w:rsidP="00B50F32">
            <w:pPr>
              <w:spacing w:line="46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2674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規定</w:t>
            </w:r>
          </w:p>
        </w:tc>
        <w:tc>
          <w:tcPr>
            <w:tcW w:w="4822" w:type="dxa"/>
            <w:shd w:val="clear" w:color="auto" w:fill="D9D9D9"/>
          </w:tcPr>
          <w:p w:rsidR="00B64F1D" w:rsidRPr="00E2674A" w:rsidRDefault="00B64F1D" w:rsidP="00B50F32">
            <w:pPr>
              <w:spacing w:line="46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2674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8F7E2F" w:rsidRPr="00732CB0" w:rsidTr="0017237A">
        <w:tc>
          <w:tcPr>
            <w:tcW w:w="4826" w:type="dxa"/>
          </w:tcPr>
          <w:p w:rsidR="00B64F1D" w:rsidRPr="00732CB0" w:rsidRDefault="00B64F1D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教育部為增強</w:t>
            </w:r>
            <w:r w:rsidR="007067C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全國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高級中等學校（以下簡稱學校</w:t>
            </w:r>
            <w:r w:rsidR="00556D9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）學生技藝學習動機，促進學校技藝交流及觀摩，提升學生技藝水準，並舉辦全國高級中等學校學生技藝競賽（以下簡稱本競賽），特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訂定本要點。</w:t>
            </w:r>
          </w:p>
        </w:tc>
        <w:tc>
          <w:tcPr>
            <w:tcW w:w="4822" w:type="dxa"/>
          </w:tcPr>
          <w:p w:rsidR="00B64F1D" w:rsidRPr="00732CB0" w:rsidRDefault="00020BB7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本要點之目的。</w:t>
            </w:r>
          </w:p>
        </w:tc>
      </w:tr>
      <w:tr w:rsidR="006A0A79" w:rsidRPr="00732CB0" w:rsidTr="0017237A">
        <w:tc>
          <w:tcPr>
            <w:tcW w:w="4826" w:type="dxa"/>
          </w:tcPr>
          <w:p w:rsidR="00B64F1D" w:rsidRPr="00732CB0" w:rsidRDefault="00B64F1D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本競賽分為工業類、農業類、商業類、家事類及海事類；並依各類</w:t>
            </w:r>
            <w:r w:rsidR="0069199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F2792E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職種，分別辦理之。</w:t>
            </w:r>
          </w:p>
          <w:p w:rsidR="00B64F1D" w:rsidRPr="00732CB0" w:rsidRDefault="00B64F1D" w:rsidP="00B50F32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前項競賽應於每年</w:t>
            </w: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732CB0">
                <w:rPr>
                  <w:rFonts w:ascii="Times New Roman" w:eastAsia="標楷體" w:hAnsi="Times New Roman" w:hint="eastAsia"/>
                  <w:sz w:val="28"/>
                  <w:szCs w:val="28"/>
                </w:rPr>
                <w:t>十一月一日</w:t>
              </w:r>
            </w:smartTag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至十二月三十一日間辦理完成。</w:t>
            </w:r>
          </w:p>
        </w:tc>
        <w:tc>
          <w:tcPr>
            <w:tcW w:w="4822" w:type="dxa"/>
          </w:tcPr>
          <w:p w:rsidR="00556D9D" w:rsidRPr="00732CB0" w:rsidRDefault="00556D9D" w:rsidP="00B50F32">
            <w:pPr>
              <w:spacing w:line="46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一、第一項</w:t>
            </w:r>
            <w:r w:rsidR="00CB2E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明定本競賽</w:t>
            </w:r>
            <w:r w:rsidR="00020BB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之類別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F7872" w:rsidRPr="00732CB0" w:rsidRDefault="00556D9D" w:rsidP="00B50F32">
            <w:pPr>
              <w:spacing w:line="460" w:lineRule="exact"/>
              <w:ind w:left="493" w:hangingChars="176" w:hanging="493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020BB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為配</w:t>
            </w:r>
            <w:r w:rsidR="00D4008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 w:rsidR="00D40083" w:rsidRPr="00732CB0">
              <w:rPr>
                <w:rFonts w:ascii="Times New Roman" w:eastAsia="標楷體" w:hAnsi="Times New Roman"/>
                <w:sz w:val="28"/>
                <w:szCs w:val="28"/>
              </w:rPr>
              <w:t>中等以上學校技藝技能優良學生甄審及保送入學</w:t>
            </w:r>
            <w:r w:rsidR="00D4008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之作業期程，</w:t>
            </w:r>
            <w:r w:rsidR="0009427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俾利學生及早確認入學方式，爰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第二項明定應於每年十一月一日至十二月三十一日</w:t>
            </w:r>
            <w:r w:rsidR="0009427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舉辦競賽</w:t>
            </w:r>
            <w:r w:rsidR="00D4008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8F7E2F" w:rsidRPr="00732CB0" w:rsidTr="0017237A">
        <w:tc>
          <w:tcPr>
            <w:tcW w:w="4826" w:type="dxa"/>
          </w:tcPr>
          <w:p w:rsidR="00E24F60" w:rsidRPr="00732CB0" w:rsidRDefault="00B64F1D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 w:hint="eastAsia"/>
                <w:strike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本競賽由教育部國民及學前教育署（以下簡稱國教署）</w:t>
            </w:r>
            <w:r w:rsidR="00F2792E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541B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r w:rsidR="00F2792E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北市政府</w:t>
            </w:r>
            <w:r w:rsidR="003029A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教育局</w:t>
            </w:r>
            <w:r w:rsidR="00F2792E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、高雄市政府</w:t>
            </w:r>
            <w:r w:rsidR="003029A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教育局</w:t>
            </w:r>
            <w:r w:rsidR="0097086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及新北市政府</w:t>
            </w:r>
            <w:r w:rsidR="003029A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教育局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，依協議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輪流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擔任主辦機關，並指定承辦學校</w:t>
            </w:r>
            <w:r w:rsidR="0070023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辦理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之。</w:t>
            </w:r>
          </w:p>
          <w:p w:rsidR="00B64F1D" w:rsidRPr="00732CB0" w:rsidRDefault="00CA719A" w:rsidP="001467A6">
            <w:pPr>
              <w:spacing w:line="460" w:lineRule="exact"/>
              <w:ind w:leftChars="297" w:left="713" w:rightChars="25" w:right="60" w:firstLineChars="159" w:firstLine="44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承辦學校應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擬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訂</w:t>
            </w:r>
            <w:r w:rsidR="00B12B6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各類競賽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實施計畫，經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技藝競賽委員會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通過後實施。</w:t>
            </w:r>
          </w:p>
        </w:tc>
        <w:tc>
          <w:tcPr>
            <w:tcW w:w="4822" w:type="dxa"/>
          </w:tcPr>
          <w:p w:rsidR="00CB2E59" w:rsidRPr="00732CB0" w:rsidRDefault="00094277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556D9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第一項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明定本競賽之主辦單位及承辦學校</w:t>
            </w:r>
            <w:r w:rsidR="00556D9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之產生方式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CA719A" w:rsidRPr="00732CB0" w:rsidRDefault="00CA719A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第二項明定</w:t>
            </w:r>
            <w:r w:rsidR="00CB2E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承辦學校應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擬訂定</w:t>
            </w:r>
            <w:r w:rsidR="00CB2E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實施計畫</w:t>
            </w:r>
            <w:r w:rsidR="0009427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6E663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經技藝競賽委員會通過後實施，</w:t>
            </w:r>
            <w:r w:rsidR="007A03B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以利競賽之進行</w:t>
            </w:r>
            <w:r w:rsidR="00CB2E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6A0A79" w:rsidRPr="00732CB0" w:rsidTr="0017237A">
        <w:tc>
          <w:tcPr>
            <w:tcW w:w="4826" w:type="dxa"/>
          </w:tcPr>
          <w:p w:rsidR="001467A6" w:rsidRPr="00732CB0" w:rsidRDefault="00CA719A" w:rsidP="00485B28">
            <w:pPr>
              <w:tabs>
                <w:tab w:val="left" w:pos="1245"/>
              </w:tabs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四、</w:t>
            </w:r>
            <w:r w:rsidR="00BF4169"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主辦機關辦理本競賽，</w:t>
            </w:r>
            <w:r w:rsidR="0099537F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應依各類</w:t>
            </w:r>
            <w:r w:rsidR="00E54C9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="0099537F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分別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組成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技藝競賽委員會，</w:t>
            </w:r>
            <w:r w:rsidR="0074194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置委員若干人，其中主任委員由主辦機關首長擔任</w:t>
            </w:r>
            <w:r w:rsidR="00FB1E5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A51B8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副主任委員</w:t>
            </w:r>
            <w:r w:rsidR="00E54C9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由其副首長擔任</w:t>
            </w:r>
            <w:r w:rsidR="001467A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E54C9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其餘委員</w:t>
            </w:r>
            <w:r w:rsidR="001467A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由</w:t>
            </w:r>
            <w:r w:rsidR="00E54C9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主辦機關</w:t>
            </w:r>
            <w:r w:rsidR="001467A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擬具名單，經主任委員核定後聘任</w:t>
            </w:r>
            <w:r w:rsidR="00536BD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1467A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CA719A" w:rsidRPr="00732CB0" w:rsidRDefault="00CA719A" w:rsidP="00B50F32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各類技藝競賽委員會下設競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賽工作會、命題及評判工作會</w:t>
            </w:r>
            <w:r w:rsidR="006E5AD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9C3AD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申訴及緊急應變小組</w:t>
            </w:r>
            <w:r w:rsidR="00E24F60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；其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成員及組織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如下：</w:t>
            </w:r>
          </w:p>
          <w:p w:rsidR="00143678" w:rsidRPr="00732CB0" w:rsidRDefault="00CA719A" w:rsidP="00B50F32">
            <w:pPr>
              <w:spacing w:line="460" w:lineRule="exact"/>
              <w:ind w:leftChars="450" w:left="1990" w:rightChars="25" w:right="60" w:hangingChars="325" w:hanging="91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（一）</w:t>
            </w:r>
            <w:r w:rsidR="001F5923"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競賽工作會</w:t>
            </w:r>
            <w:r w:rsidR="00E24F60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143678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置總幹事一人，由主任委員就承辦學校校長聘</w:t>
            </w:r>
            <w:r w:rsidR="00C319A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兼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之；副總幹事若干人，由主任委員就其他學校校長聘</w:t>
            </w:r>
            <w:r w:rsidR="00C319A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兼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43678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得置執行秘書一人，由總幹事</w:t>
            </w:r>
            <w:r w:rsidR="0074055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就承辦學校相關人員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派</w:t>
            </w:r>
            <w:r w:rsidR="00C319A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兼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CA719A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得設規劃組、競賽組、命題評判庶務組、成績組、典禮組、總務組、主（會）計組、公關組、資訊文宣組、服務組、交通組等工作組；每組置組長一人，副組長及組員若干人，均由承辦學校或其他學校相關人員擔任。</w:t>
            </w:r>
          </w:p>
          <w:p w:rsidR="00143678" w:rsidRPr="00732CB0" w:rsidRDefault="00CA719A" w:rsidP="00B50F32">
            <w:pPr>
              <w:spacing w:line="460" w:lineRule="exact"/>
              <w:ind w:leftChars="450" w:left="1990" w:rightChars="25" w:right="60" w:hangingChars="325" w:hanging="91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（二）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命題及評判工作會</w:t>
            </w:r>
            <w:r w:rsidR="0014367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143678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置總召集人一人，</w:t>
            </w:r>
            <w:r w:rsidR="007F28A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得置副總召集人一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至二人，</w:t>
            </w:r>
            <w:r w:rsidR="007F28A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均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由主任委員就學者專家聘兼之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43678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類之競賽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職種置召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集人一人、命題及評判委員若干人，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均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由總召集人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擬具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名單，經主任委員核定後聘</w:t>
            </w:r>
            <w:r w:rsidR="003A5C4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兼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B64F1D" w:rsidRPr="00732CB0" w:rsidRDefault="00143678" w:rsidP="00B50F32">
            <w:pPr>
              <w:spacing w:line="460" w:lineRule="exact"/>
              <w:ind w:leftChars="775" w:left="2140" w:rightChars="25" w:right="60" w:hangingChars="100" w:hanging="28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得設秘書組，組員由總召集人</w:t>
            </w:r>
            <w:r w:rsidR="007F28A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指定相關人員擔任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E24F60" w:rsidRPr="00732CB0" w:rsidRDefault="00E24F60" w:rsidP="007F0206">
            <w:pPr>
              <w:spacing w:line="460" w:lineRule="exact"/>
              <w:ind w:leftChars="450" w:left="1990" w:rightChars="25" w:right="60" w:hangingChars="325" w:hanging="9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（三）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申訴及緊急應變小組：</w:t>
            </w:r>
            <w:r w:rsidR="004206D4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置委員五人，由副主任委員</w:t>
            </w:r>
            <w:r w:rsidR="00BC4834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、競賽工作會總幹事、副總幹事、命題及評判工作會總召集人擔任，其中一人為</w:t>
            </w:r>
            <w:r w:rsidR="00A7115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召集人，由主任委員指定副主任委員</w:t>
            </w:r>
            <w:r w:rsidR="00A15BD4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一人</w:t>
            </w:r>
            <w:r w:rsidR="00BC4834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擔任。</w:t>
            </w:r>
          </w:p>
        </w:tc>
        <w:tc>
          <w:tcPr>
            <w:tcW w:w="4822" w:type="dxa"/>
          </w:tcPr>
          <w:p w:rsidR="00CA719A" w:rsidRPr="00732CB0" w:rsidRDefault="00094277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一、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第一項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明定</w:t>
            </w:r>
            <w:r w:rsidR="007A03B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主辦機關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應組成各類技藝競賽</w:t>
            </w:r>
            <w:r w:rsidR="00BA411E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委員會及其人員組成</w:t>
            </w:r>
            <w:r w:rsidR="00CB2E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BA106F" w:rsidRPr="00732CB0" w:rsidRDefault="00094277" w:rsidP="00536BD2">
            <w:pPr>
              <w:spacing w:line="460" w:lineRule="exact"/>
              <w:ind w:leftChars="-1" w:left="494" w:rightChars="25" w:right="60" w:hangingChars="177" w:hanging="49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第二項</w:t>
            </w:r>
            <w:r w:rsidR="002E3C1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明定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各類技藝競賽委員會均應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下</w:t>
            </w:r>
            <w:r w:rsidR="002E3C1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設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競賽工作會、命題及評判工作會</w:t>
            </w:r>
            <w:r w:rsidR="00536BD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FA2B0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申訴及緊急應變小組</w:t>
            </w:r>
            <w:r w:rsidR="002E3C1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CA719A" w:rsidRPr="00732CB0" w:rsidTr="0017237A">
        <w:tc>
          <w:tcPr>
            <w:tcW w:w="4826" w:type="dxa"/>
          </w:tcPr>
          <w:p w:rsidR="00CA719A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五、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參加本競賽之學生，為設有專業群、科、綜合高中專門學程之學校應屆畢（結）業學生。</w:t>
            </w:r>
          </w:p>
          <w:p w:rsidR="00CA719A" w:rsidRPr="00732CB0" w:rsidRDefault="00CA719A" w:rsidP="00B50F32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前項學生，不包括延修生。</w:t>
            </w:r>
          </w:p>
        </w:tc>
        <w:tc>
          <w:tcPr>
            <w:tcW w:w="4822" w:type="dxa"/>
          </w:tcPr>
          <w:p w:rsidR="002303C5" w:rsidRPr="00732CB0" w:rsidRDefault="00BA106F" w:rsidP="00B50F32">
            <w:pPr>
              <w:spacing w:line="460" w:lineRule="exact"/>
              <w:ind w:left="60" w:rightChars="25" w:right="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</w:t>
            </w:r>
            <w:r w:rsidR="0070402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參賽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學生之資格條件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CA719A" w:rsidRPr="00732CB0" w:rsidTr="0017237A">
        <w:tc>
          <w:tcPr>
            <w:tcW w:w="4826" w:type="dxa"/>
          </w:tcPr>
          <w:p w:rsidR="005B74A8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六、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本競賽參賽學生</w:t>
            </w:r>
            <w:r w:rsidR="005B74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應依各類技藝競賽</w:t>
            </w:r>
            <w:r w:rsidR="008B580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委員</w:t>
            </w:r>
            <w:r w:rsidR="005B74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r w:rsidR="00C976C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所定名額，經學校內選拔學生代表參加。</w:t>
            </w:r>
          </w:p>
          <w:p w:rsidR="005B74A8" w:rsidRPr="00732CB0" w:rsidRDefault="00CA719A" w:rsidP="00B50F32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各類競賽職種，得視其參賽人數辦理資格賽</w:t>
            </w:r>
            <w:r w:rsidR="005B74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5B74A8" w:rsidRPr="00732CB0" w:rsidRDefault="008A0B27" w:rsidP="00B50F32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各類競賽職種之參賽人數較少者，得由學校提供參賽名單後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537B2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經承辦學校就名單抽籤選出參賽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者；其辦理程序，依第三點第二項各類競賽實施計畫之規定。</w:t>
            </w:r>
          </w:p>
        </w:tc>
        <w:tc>
          <w:tcPr>
            <w:tcW w:w="4822" w:type="dxa"/>
          </w:tcPr>
          <w:p w:rsidR="00704022" w:rsidRPr="00732CB0" w:rsidRDefault="002F0949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一、第一項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明定</w:t>
            </w:r>
            <w:r w:rsidR="000A2D6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賽</w:t>
            </w:r>
            <w:r w:rsidR="00A4175B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參賽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學生，係學校選拔代表</w:t>
            </w:r>
            <w:r w:rsidR="000A2D6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687B62" w:rsidRPr="00732CB0" w:rsidRDefault="00687B62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62708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第二項之資格賽係指參賽人數過多，而學校基於競賽場地</w:t>
            </w:r>
            <w:r w:rsidR="007A477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限制</w:t>
            </w:r>
            <w:r w:rsidR="0062708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，於正式競賽前所辦理之</w:t>
            </w:r>
            <w:r w:rsidR="00A57FDF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校內選拔</w:t>
            </w:r>
            <w:r w:rsidR="0062708D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賽。</w:t>
            </w:r>
          </w:p>
          <w:p w:rsidR="00CA719A" w:rsidRPr="00732CB0" w:rsidRDefault="0062708D" w:rsidP="00B50F32">
            <w:pPr>
              <w:spacing w:line="460" w:lineRule="exact"/>
              <w:ind w:left="493" w:rightChars="25" w:right="60" w:hangingChars="176" w:hanging="49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、第二項及第三項明定</w:t>
            </w:r>
            <w:r w:rsidR="0070402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本競賽職種依參賽人數</w:t>
            </w:r>
            <w:r w:rsidR="002F094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多寡，分為校內選拔代表及抽籤二</w:t>
            </w:r>
            <w:r w:rsidR="00704022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種方式辦理。</w:t>
            </w:r>
          </w:p>
        </w:tc>
      </w:tr>
      <w:tr w:rsidR="00CA719A" w:rsidRPr="00732CB0" w:rsidTr="0017237A">
        <w:tc>
          <w:tcPr>
            <w:tcW w:w="4826" w:type="dxa"/>
          </w:tcPr>
          <w:p w:rsidR="00CA719A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七、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各類競賽</w:t>
            </w:r>
            <w:r w:rsidR="00E24959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及前點第二項規定之資格賽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，分學科及術科測驗；術科測驗成績比率，應占總成績百分之八十以上。</w:t>
            </w:r>
          </w:p>
          <w:p w:rsidR="00CA719A" w:rsidRPr="00732CB0" w:rsidRDefault="002A6273" w:rsidP="00E24959">
            <w:pPr>
              <w:spacing w:line="460" w:lineRule="exact"/>
              <w:ind w:leftChars="250" w:left="600" w:rightChars="25" w:right="6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前項之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命題範圍，以前</w:t>
            </w:r>
            <w:r w:rsidR="003240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學期</w:t>
            </w:r>
            <w:r w:rsidR="003240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C77AC4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舉辦競賽</w:t>
            </w:r>
            <w:r w:rsidR="003240A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當學期</w:t>
            </w:r>
            <w:r w:rsidR="008A0B27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課程為限</w:t>
            </w:r>
            <w:r w:rsidR="00A0554C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822" w:type="dxa"/>
          </w:tcPr>
          <w:p w:rsidR="003E0C55" w:rsidRPr="00732CB0" w:rsidRDefault="00BA411E" w:rsidP="003E0C55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</w:t>
            </w:r>
            <w:r w:rsidR="003E0C5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及前點第二項規定之資格賽，其</w:t>
            </w:r>
          </w:p>
          <w:p w:rsidR="00CA719A" w:rsidRPr="00732CB0" w:rsidRDefault="00BA411E" w:rsidP="003E0C55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學科及術科成績應佔比率及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命題範圍。</w:t>
            </w:r>
          </w:p>
        </w:tc>
      </w:tr>
      <w:tr w:rsidR="00CA719A" w:rsidRPr="00732CB0" w:rsidTr="0017237A">
        <w:tc>
          <w:tcPr>
            <w:tcW w:w="4826" w:type="dxa"/>
          </w:tcPr>
          <w:p w:rsidR="00CA719A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八、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參賽學生對本競賽成績</w:t>
            </w:r>
            <w:r w:rsidR="00EC353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有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異議者，應由</w:t>
            </w:r>
            <w:r w:rsidR="00B8353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學生及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領隊或指導</w:t>
            </w:r>
            <w:r w:rsidR="00EC353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教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師於本競賽頒獎當日十五時前，以書面詳具理由，向承辦學校提出，交由申訴及緊急應變小組處</w:t>
            </w:r>
            <w:r w:rsidR="00EC353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理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822" w:type="dxa"/>
          </w:tcPr>
          <w:p w:rsidR="00B50F32" w:rsidRPr="00732CB0" w:rsidRDefault="00B83536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參賽學生對本競賽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成績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有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異議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時之提</w:t>
            </w:r>
          </w:p>
          <w:p w:rsidR="00CA719A" w:rsidRPr="00732CB0" w:rsidRDefault="00B83536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出及處理程序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CA719A" w:rsidRPr="00732CB0" w:rsidTr="0017237A">
        <w:tc>
          <w:tcPr>
            <w:tcW w:w="4826" w:type="dxa"/>
          </w:tcPr>
          <w:p w:rsidR="00CA719A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九、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本競賽所需經費，由國教署、臺北市政府教育局、高雄市政府教育局</w:t>
            </w:r>
            <w:r w:rsidR="00660748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與新北市政府教育局編列預算及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報名費之收入支應；</w:t>
            </w:r>
            <w:r w:rsidR="00B83536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競賽所需設備及維護費，由主辦機關</w:t>
            </w:r>
            <w:r w:rsidR="00EC353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編列或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籌措</w:t>
            </w:r>
            <w:r w:rsidR="00EC3533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補助承辦學校。</w:t>
            </w:r>
          </w:p>
        </w:tc>
        <w:tc>
          <w:tcPr>
            <w:tcW w:w="4822" w:type="dxa"/>
          </w:tcPr>
          <w:p w:rsidR="00CA719A" w:rsidRPr="00732CB0" w:rsidRDefault="00B83536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補助本競賽經費之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機關</w:t>
            </w:r>
            <w:r w:rsidR="00CA719A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CA719A" w:rsidRPr="00732CB0" w:rsidTr="0017237A">
        <w:tc>
          <w:tcPr>
            <w:tcW w:w="4826" w:type="dxa"/>
          </w:tcPr>
          <w:p w:rsidR="00CA719A" w:rsidRPr="00732CB0" w:rsidRDefault="00CA719A" w:rsidP="00B50F32">
            <w:pPr>
              <w:spacing w:line="460" w:lineRule="exact"/>
              <w:ind w:leftChars="25" w:left="690" w:rightChars="25" w:right="60" w:hangingChars="225" w:hanging="6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十、</w:t>
            </w:r>
            <w:r w:rsidRPr="00732CB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本競賽結束後，由承辦學校召開檢討會，並將檢討結果作成報告書，作為下次辦理本競賽之參考。</w:t>
            </w:r>
          </w:p>
        </w:tc>
        <w:tc>
          <w:tcPr>
            <w:tcW w:w="4822" w:type="dxa"/>
          </w:tcPr>
          <w:p w:rsidR="00CA719A" w:rsidRPr="00732CB0" w:rsidRDefault="00B83536" w:rsidP="00B50F32">
            <w:pPr>
              <w:spacing w:line="46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本</w:t>
            </w:r>
            <w:r w:rsidR="00E1235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競賽結束後</w:t>
            </w:r>
            <w:r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，承辦學校</w:t>
            </w:r>
            <w:r w:rsidR="002303C5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應</w:t>
            </w:r>
            <w:r w:rsidR="00E12351" w:rsidRPr="00732CB0">
              <w:rPr>
                <w:rFonts w:ascii="Times New Roman" w:eastAsia="標楷體" w:hAnsi="Times New Roman" w:hint="eastAsia"/>
                <w:sz w:val="28"/>
                <w:szCs w:val="28"/>
              </w:rPr>
              <w:t>辦理之檢討程序。</w:t>
            </w:r>
          </w:p>
        </w:tc>
      </w:tr>
    </w:tbl>
    <w:p w:rsidR="00B64F1D" w:rsidRPr="00732CB0" w:rsidRDefault="00B64F1D" w:rsidP="00B50F32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B64F1D" w:rsidRPr="00732CB0" w:rsidSect="001F1D5C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7C" w:rsidRDefault="00FF277C" w:rsidP="001F1D5C">
      <w:r>
        <w:separator/>
      </w:r>
    </w:p>
  </w:endnote>
  <w:endnote w:type="continuationSeparator" w:id="0">
    <w:p w:rsidR="00FF277C" w:rsidRDefault="00FF277C" w:rsidP="001F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B7" w:rsidRPr="001F1D5C" w:rsidRDefault="00513EB7" w:rsidP="001F1D5C">
    <w:pPr>
      <w:pStyle w:val="a8"/>
      <w:jc w:val="center"/>
      <w:rPr>
        <w:rFonts w:ascii="Times New Roman" w:hAnsi="Times New Roman"/>
      </w:rPr>
    </w:pPr>
    <w:r w:rsidRPr="001F1D5C">
      <w:rPr>
        <w:rFonts w:ascii="Times New Roman" w:hAnsi="Times New Roman"/>
      </w:rPr>
      <w:fldChar w:fldCharType="begin"/>
    </w:r>
    <w:r w:rsidRPr="001F1D5C">
      <w:rPr>
        <w:rFonts w:ascii="Times New Roman" w:hAnsi="Times New Roman"/>
      </w:rPr>
      <w:instrText>PAGE   \* MERGEFORMAT</w:instrText>
    </w:r>
    <w:r w:rsidRPr="001F1D5C">
      <w:rPr>
        <w:rFonts w:ascii="Times New Roman" w:hAnsi="Times New Roman"/>
      </w:rPr>
      <w:fldChar w:fldCharType="separate"/>
    </w:r>
    <w:r w:rsidR="00D54285" w:rsidRPr="00D54285">
      <w:rPr>
        <w:rFonts w:ascii="Times New Roman" w:hAnsi="Times New Roman"/>
        <w:noProof/>
        <w:lang w:val="zh-TW"/>
      </w:rPr>
      <w:t>1</w:t>
    </w:r>
    <w:r w:rsidRPr="001F1D5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7C" w:rsidRDefault="00FF277C" w:rsidP="001F1D5C">
      <w:r>
        <w:separator/>
      </w:r>
    </w:p>
  </w:footnote>
  <w:footnote w:type="continuationSeparator" w:id="0">
    <w:p w:rsidR="00FF277C" w:rsidRDefault="00FF277C" w:rsidP="001F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B58"/>
    <w:multiLevelType w:val="hybridMultilevel"/>
    <w:tmpl w:val="69961C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910587"/>
    <w:multiLevelType w:val="hybridMultilevel"/>
    <w:tmpl w:val="CAB04680"/>
    <w:lvl w:ilvl="0" w:tplc="C7DCD4BC">
      <w:start w:val="1"/>
      <w:numFmt w:val="taiwaneseCountingThousand"/>
      <w:lvlText w:val="%1、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>
    <w:nsid w:val="22931465"/>
    <w:multiLevelType w:val="hybridMultilevel"/>
    <w:tmpl w:val="69AEA208"/>
    <w:lvl w:ilvl="0" w:tplc="5AE206FC">
      <w:start w:val="1"/>
      <w:numFmt w:val="taiwaneseCountingThousand"/>
      <w:lvlText w:val="%1、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>
    <w:nsid w:val="4DC301C2"/>
    <w:multiLevelType w:val="hybridMultilevel"/>
    <w:tmpl w:val="D4C87BDC"/>
    <w:lvl w:ilvl="0" w:tplc="047C45D2">
      <w:start w:val="1"/>
      <w:numFmt w:val="taiwaneseCountingThousand"/>
      <w:lvlText w:val="%1、"/>
      <w:lvlJc w:val="left"/>
      <w:pPr>
        <w:ind w:left="600" w:hanging="5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08"/>
    <w:rsid w:val="00010C07"/>
    <w:rsid w:val="000111F2"/>
    <w:rsid w:val="00020BB7"/>
    <w:rsid w:val="00043CA0"/>
    <w:rsid w:val="00056288"/>
    <w:rsid w:val="00064A3E"/>
    <w:rsid w:val="00080992"/>
    <w:rsid w:val="00092401"/>
    <w:rsid w:val="00093ABA"/>
    <w:rsid w:val="00094277"/>
    <w:rsid w:val="000A2D66"/>
    <w:rsid w:val="000A54D3"/>
    <w:rsid w:val="000C6A6F"/>
    <w:rsid w:val="000D0F74"/>
    <w:rsid w:val="000E0EA4"/>
    <w:rsid w:val="000E27EA"/>
    <w:rsid w:val="000E2844"/>
    <w:rsid w:val="000F1429"/>
    <w:rsid w:val="000F15B5"/>
    <w:rsid w:val="00106F7A"/>
    <w:rsid w:val="00115985"/>
    <w:rsid w:val="00142BB4"/>
    <w:rsid w:val="00143678"/>
    <w:rsid w:val="001467A6"/>
    <w:rsid w:val="00151237"/>
    <w:rsid w:val="00154D66"/>
    <w:rsid w:val="0017237A"/>
    <w:rsid w:val="001929B7"/>
    <w:rsid w:val="00194A0E"/>
    <w:rsid w:val="00194C39"/>
    <w:rsid w:val="001B17D9"/>
    <w:rsid w:val="001B63AB"/>
    <w:rsid w:val="001C6967"/>
    <w:rsid w:val="001C7CCC"/>
    <w:rsid w:val="001E2A8A"/>
    <w:rsid w:val="001E5382"/>
    <w:rsid w:val="001F1D5C"/>
    <w:rsid w:val="001F5923"/>
    <w:rsid w:val="001F5D79"/>
    <w:rsid w:val="00213459"/>
    <w:rsid w:val="002303C5"/>
    <w:rsid w:val="00242D48"/>
    <w:rsid w:val="002449B3"/>
    <w:rsid w:val="00262113"/>
    <w:rsid w:val="00271962"/>
    <w:rsid w:val="00274704"/>
    <w:rsid w:val="0028268B"/>
    <w:rsid w:val="00284E02"/>
    <w:rsid w:val="002865EB"/>
    <w:rsid w:val="00287626"/>
    <w:rsid w:val="002928F1"/>
    <w:rsid w:val="002931A9"/>
    <w:rsid w:val="00293E4B"/>
    <w:rsid w:val="002A1CEF"/>
    <w:rsid w:val="002A27AA"/>
    <w:rsid w:val="002A6273"/>
    <w:rsid w:val="002A726F"/>
    <w:rsid w:val="002C3B7F"/>
    <w:rsid w:val="002E3C16"/>
    <w:rsid w:val="002E4D42"/>
    <w:rsid w:val="002F0949"/>
    <w:rsid w:val="002F3824"/>
    <w:rsid w:val="003029A7"/>
    <w:rsid w:val="003240A8"/>
    <w:rsid w:val="00325740"/>
    <w:rsid w:val="00325D1E"/>
    <w:rsid w:val="0033006A"/>
    <w:rsid w:val="00343A7A"/>
    <w:rsid w:val="00345D38"/>
    <w:rsid w:val="003667DE"/>
    <w:rsid w:val="003951E2"/>
    <w:rsid w:val="003A5C46"/>
    <w:rsid w:val="003C0DEA"/>
    <w:rsid w:val="003D3594"/>
    <w:rsid w:val="003E0C55"/>
    <w:rsid w:val="003E72EE"/>
    <w:rsid w:val="003F21C4"/>
    <w:rsid w:val="004041AA"/>
    <w:rsid w:val="00405C26"/>
    <w:rsid w:val="004206D4"/>
    <w:rsid w:val="00420798"/>
    <w:rsid w:val="00421E7C"/>
    <w:rsid w:val="00422F89"/>
    <w:rsid w:val="0043592A"/>
    <w:rsid w:val="00436619"/>
    <w:rsid w:val="00443C89"/>
    <w:rsid w:val="004504F2"/>
    <w:rsid w:val="004554FE"/>
    <w:rsid w:val="00485B28"/>
    <w:rsid w:val="004963A2"/>
    <w:rsid w:val="004A7746"/>
    <w:rsid w:val="004B526E"/>
    <w:rsid w:val="004B744C"/>
    <w:rsid w:val="004D22B0"/>
    <w:rsid w:val="004E12CF"/>
    <w:rsid w:val="004F2E83"/>
    <w:rsid w:val="00513EB7"/>
    <w:rsid w:val="00523B3F"/>
    <w:rsid w:val="005253D7"/>
    <w:rsid w:val="00536BD2"/>
    <w:rsid w:val="005373C8"/>
    <w:rsid w:val="00537B29"/>
    <w:rsid w:val="0054484A"/>
    <w:rsid w:val="005460F0"/>
    <w:rsid w:val="00551BEC"/>
    <w:rsid w:val="005563B5"/>
    <w:rsid w:val="00556D9D"/>
    <w:rsid w:val="00556DF4"/>
    <w:rsid w:val="00556F32"/>
    <w:rsid w:val="00563A40"/>
    <w:rsid w:val="00570841"/>
    <w:rsid w:val="00595BFE"/>
    <w:rsid w:val="005B4C7A"/>
    <w:rsid w:val="005B74A8"/>
    <w:rsid w:val="005C2E5A"/>
    <w:rsid w:val="005C4B0C"/>
    <w:rsid w:val="005C7104"/>
    <w:rsid w:val="005D1DB2"/>
    <w:rsid w:val="005F2F46"/>
    <w:rsid w:val="00600A3A"/>
    <w:rsid w:val="0060478C"/>
    <w:rsid w:val="00605291"/>
    <w:rsid w:val="00611791"/>
    <w:rsid w:val="00622DEA"/>
    <w:rsid w:val="00626ADC"/>
    <w:rsid w:val="0062708D"/>
    <w:rsid w:val="006317EC"/>
    <w:rsid w:val="00632D1B"/>
    <w:rsid w:val="006340E4"/>
    <w:rsid w:val="00636D1A"/>
    <w:rsid w:val="006435D8"/>
    <w:rsid w:val="00654DB9"/>
    <w:rsid w:val="00654FAB"/>
    <w:rsid w:val="00660748"/>
    <w:rsid w:val="006822E6"/>
    <w:rsid w:val="00687B62"/>
    <w:rsid w:val="00691991"/>
    <w:rsid w:val="006A0A79"/>
    <w:rsid w:val="006A711A"/>
    <w:rsid w:val="006A785F"/>
    <w:rsid w:val="006A791A"/>
    <w:rsid w:val="006B43CC"/>
    <w:rsid w:val="006C2648"/>
    <w:rsid w:val="006C4C99"/>
    <w:rsid w:val="006C65D9"/>
    <w:rsid w:val="006E5AD3"/>
    <w:rsid w:val="006E6190"/>
    <w:rsid w:val="006E6638"/>
    <w:rsid w:val="006F4B58"/>
    <w:rsid w:val="00700239"/>
    <w:rsid w:val="00701B16"/>
    <w:rsid w:val="00703AF2"/>
    <w:rsid w:val="00704022"/>
    <w:rsid w:val="007067CA"/>
    <w:rsid w:val="007109EF"/>
    <w:rsid w:val="00711F1F"/>
    <w:rsid w:val="00712779"/>
    <w:rsid w:val="00713FA8"/>
    <w:rsid w:val="00732CB0"/>
    <w:rsid w:val="007344B6"/>
    <w:rsid w:val="00736A08"/>
    <w:rsid w:val="00740557"/>
    <w:rsid w:val="00741948"/>
    <w:rsid w:val="00766410"/>
    <w:rsid w:val="007667B8"/>
    <w:rsid w:val="007A03B1"/>
    <w:rsid w:val="007A477D"/>
    <w:rsid w:val="007D5E97"/>
    <w:rsid w:val="007F0206"/>
    <w:rsid w:val="007F28A1"/>
    <w:rsid w:val="007F79DB"/>
    <w:rsid w:val="00805F22"/>
    <w:rsid w:val="00817620"/>
    <w:rsid w:val="008205C2"/>
    <w:rsid w:val="008415B8"/>
    <w:rsid w:val="008444F2"/>
    <w:rsid w:val="00847389"/>
    <w:rsid w:val="008478E2"/>
    <w:rsid w:val="008541BD"/>
    <w:rsid w:val="00867C59"/>
    <w:rsid w:val="0088097E"/>
    <w:rsid w:val="00882A38"/>
    <w:rsid w:val="00896008"/>
    <w:rsid w:val="00897E31"/>
    <w:rsid w:val="008A0B27"/>
    <w:rsid w:val="008A1132"/>
    <w:rsid w:val="008A6FDB"/>
    <w:rsid w:val="008A7968"/>
    <w:rsid w:val="008B4F29"/>
    <w:rsid w:val="008B5802"/>
    <w:rsid w:val="008C0D57"/>
    <w:rsid w:val="008C0E71"/>
    <w:rsid w:val="008C242E"/>
    <w:rsid w:val="008D5B3E"/>
    <w:rsid w:val="008D61C2"/>
    <w:rsid w:val="008E5AFF"/>
    <w:rsid w:val="008F7E2F"/>
    <w:rsid w:val="0092103B"/>
    <w:rsid w:val="00935767"/>
    <w:rsid w:val="009459B1"/>
    <w:rsid w:val="00952DC7"/>
    <w:rsid w:val="009543F6"/>
    <w:rsid w:val="009562D3"/>
    <w:rsid w:val="00967777"/>
    <w:rsid w:val="00970861"/>
    <w:rsid w:val="00971B0D"/>
    <w:rsid w:val="00990D38"/>
    <w:rsid w:val="00992B54"/>
    <w:rsid w:val="00992F91"/>
    <w:rsid w:val="009938BA"/>
    <w:rsid w:val="0099537F"/>
    <w:rsid w:val="009A2544"/>
    <w:rsid w:val="009B710E"/>
    <w:rsid w:val="009C3AD7"/>
    <w:rsid w:val="009D0BD5"/>
    <w:rsid w:val="009E20C6"/>
    <w:rsid w:val="009E2670"/>
    <w:rsid w:val="009F028A"/>
    <w:rsid w:val="009F53A6"/>
    <w:rsid w:val="00A007A4"/>
    <w:rsid w:val="00A0554C"/>
    <w:rsid w:val="00A1547C"/>
    <w:rsid w:val="00A15BD4"/>
    <w:rsid w:val="00A177BB"/>
    <w:rsid w:val="00A22BF3"/>
    <w:rsid w:val="00A32C78"/>
    <w:rsid w:val="00A335BA"/>
    <w:rsid w:val="00A4175B"/>
    <w:rsid w:val="00A45091"/>
    <w:rsid w:val="00A51B82"/>
    <w:rsid w:val="00A51C98"/>
    <w:rsid w:val="00A53791"/>
    <w:rsid w:val="00A56F8F"/>
    <w:rsid w:val="00A57FDF"/>
    <w:rsid w:val="00A7115A"/>
    <w:rsid w:val="00A8251E"/>
    <w:rsid w:val="00A8623E"/>
    <w:rsid w:val="00AA033F"/>
    <w:rsid w:val="00AA5CCD"/>
    <w:rsid w:val="00AB7F1A"/>
    <w:rsid w:val="00AC3E26"/>
    <w:rsid w:val="00AC5AF6"/>
    <w:rsid w:val="00AE5982"/>
    <w:rsid w:val="00B0401F"/>
    <w:rsid w:val="00B1081A"/>
    <w:rsid w:val="00B12B61"/>
    <w:rsid w:val="00B26870"/>
    <w:rsid w:val="00B4022F"/>
    <w:rsid w:val="00B46093"/>
    <w:rsid w:val="00B508C2"/>
    <w:rsid w:val="00B50F32"/>
    <w:rsid w:val="00B64F1D"/>
    <w:rsid w:val="00B740E3"/>
    <w:rsid w:val="00B74CF0"/>
    <w:rsid w:val="00B7682F"/>
    <w:rsid w:val="00B8123C"/>
    <w:rsid w:val="00B82880"/>
    <w:rsid w:val="00B83536"/>
    <w:rsid w:val="00B844BC"/>
    <w:rsid w:val="00B90F3C"/>
    <w:rsid w:val="00B97465"/>
    <w:rsid w:val="00BA106F"/>
    <w:rsid w:val="00BA3C1E"/>
    <w:rsid w:val="00BA411E"/>
    <w:rsid w:val="00BB7E04"/>
    <w:rsid w:val="00BC2496"/>
    <w:rsid w:val="00BC265B"/>
    <w:rsid w:val="00BC4834"/>
    <w:rsid w:val="00BF4169"/>
    <w:rsid w:val="00BF5224"/>
    <w:rsid w:val="00BF5B91"/>
    <w:rsid w:val="00C00E37"/>
    <w:rsid w:val="00C17067"/>
    <w:rsid w:val="00C313D4"/>
    <w:rsid w:val="00C319AA"/>
    <w:rsid w:val="00C37D8B"/>
    <w:rsid w:val="00C43D7F"/>
    <w:rsid w:val="00C77AC4"/>
    <w:rsid w:val="00C9291E"/>
    <w:rsid w:val="00C970B4"/>
    <w:rsid w:val="00C976C1"/>
    <w:rsid w:val="00CA719A"/>
    <w:rsid w:val="00CB148A"/>
    <w:rsid w:val="00CB1EAE"/>
    <w:rsid w:val="00CB288F"/>
    <w:rsid w:val="00CB2E59"/>
    <w:rsid w:val="00CD003A"/>
    <w:rsid w:val="00CD5261"/>
    <w:rsid w:val="00CE0383"/>
    <w:rsid w:val="00CE28D5"/>
    <w:rsid w:val="00CE49AA"/>
    <w:rsid w:val="00CF2C32"/>
    <w:rsid w:val="00CF7AF8"/>
    <w:rsid w:val="00D01013"/>
    <w:rsid w:val="00D01258"/>
    <w:rsid w:val="00D03FA4"/>
    <w:rsid w:val="00D06D49"/>
    <w:rsid w:val="00D24354"/>
    <w:rsid w:val="00D302AF"/>
    <w:rsid w:val="00D40083"/>
    <w:rsid w:val="00D43441"/>
    <w:rsid w:val="00D51248"/>
    <w:rsid w:val="00D54285"/>
    <w:rsid w:val="00D54E24"/>
    <w:rsid w:val="00D57835"/>
    <w:rsid w:val="00D64CB1"/>
    <w:rsid w:val="00D7123A"/>
    <w:rsid w:val="00D75C51"/>
    <w:rsid w:val="00DA2CB4"/>
    <w:rsid w:val="00DA693A"/>
    <w:rsid w:val="00DD2032"/>
    <w:rsid w:val="00DD3141"/>
    <w:rsid w:val="00DF0742"/>
    <w:rsid w:val="00DF7872"/>
    <w:rsid w:val="00E05E37"/>
    <w:rsid w:val="00E06C2F"/>
    <w:rsid w:val="00E12351"/>
    <w:rsid w:val="00E150D2"/>
    <w:rsid w:val="00E16223"/>
    <w:rsid w:val="00E21F93"/>
    <w:rsid w:val="00E23431"/>
    <w:rsid w:val="00E24959"/>
    <w:rsid w:val="00E24F60"/>
    <w:rsid w:val="00E2674A"/>
    <w:rsid w:val="00E32473"/>
    <w:rsid w:val="00E34AE9"/>
    <w:rsid w:val="00E4236A"/>
    <w:rsid w:val="00E541E5"/>
    <w:rsid w:val="00E54C9C"/>
    <w:rsid w:val="00E67DF7"/>
    <w:rsid w:val="00E952F4"/>
    <w:rsid w:val="00EB01B9"/>
    <w:rsid w:val="00EB5CA7"/>
    <w:rsid w:val="00EB6A8D"/>
    <w:rsid w:val="00EC3533"/>
    <w:rsid w:val="00EC723D"/>
    <w:rsid w:val="00EE241C"/>
    <w:rsid w:val="00EE7E05"/>
    <w:rsid w:val="00EF317A"/>
    <w:rsid w:val="00F2792E"/>
    <w:rsid w:val="00F354CF"/>
    <w:rsid w:val="00F47B34"/>
    <w:rsid w:val="00F57143"/>
    <w:rsid w:val="00F726F9"/>
    <w:rsid w:val="00F8424B"/>
    <w:rsid w:val="00F93DC5"/>
    <w:rsid w:val="00FA0E34"/>
    <w:rsid w:val="00FA1700"/>
    <w:rsid w:val="00FA2B0A"/>
    <w:rsid w:val="00FA4074"/>
    <w:rsid w:val="00FB0C55"/>
    <w:rsid w:val="00FB1E5C"/>
    <w:rsid w:val="00FB5231"/>
    <w:rsid w:val="00FB5398"/>
    <w:rsid w:val="00FB6E42"/>
    <w:rsid w:val="00FD7C46"/>
    <w:rsid w:val="00FF277C"/>
    <w:rsid w:val="00FF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1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44F2"/>
    <w:rPr>
      <w:rFonts w:ascii="Cambria" w:hAnsi="Cambria"/>
      <w:kern w:val="0"/>
      <w:sz w:val="18"/>
      <w:szCs w:val="18"/>
      <w:lang/>
    </w:rPr>
  </w:style>
  <w:style w:type="character" w:customStyle="1" w:styleId="a5">
    <w:name w:val="註解方塊文字 字元"/>
    <w:link w:val="a4"/>
    <w:uiPriority w:val="99"/>
    <w:semiHidden/>
    <w:locked/>
    <w:rsid w:val="008444F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F1D5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首 字元"/>
    <w:link w:val="a6"/>
    <w:uiPriority w:val="99"/>
    <w:locked/>
    <w:rsid w:val="001F1D5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1F1D5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尾 字元"/>
    <w:link w:val="a8"/>
    <w:uiPriority w:val="99"/>
    <w:locked/>
    <w:rsid w:val="001F1D5C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17067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020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教育部國民及學前教育署辦理</dc:title>
  <dc:subject/>
  <dc:creator>Jason</dc:creator>
  <cp:keywords/>
  <cp:lastModifiedBy>電機科鄭才新老師</cp:lastModifiedBy>
  <cp:revision>2</cp:revision>
  <cp:lastPrinted>2014-07-29T11:14:00Z</cp:lastPrinted>
  <dcterms:created xsi:type="dcterms:W3CDTF">2014-08-28T01:57:00Z</dcterms:created>
  <dcterms:modified xsi:type="dcterms:W3CDTF">2014-08-28T01:57:00Z</dcterms:modified>
</cp:coreProperties>
</file>