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033" w:rsidRPr="00A93E40" w:rsidRDefault="00DA3033" w:rsidP="00DA3033">
      <w:pPr>
        <w:jc w:val="center"/>
        <w:outlineLvl w:val="1"/>
        <w:rPr>
          <w:rFonts w:eastAsia="標楷體"/>
          <w:sz w:val="28"/>
        </w:rPr>
      </w:pPr>
      <w:bookmarkStart w:id="0" w:name="_Toc333573894"/>
      <w:r w:rsidRPr="00A93E40">
        <w:rPr>
          <w:rFonts w:eastAsia="標楷體" w:hAnsi="標楷體"/>
          <w:sz w:val="28"/>
        </w:rPr>
        <w:t>臺北市立松山高級工農職業學校各科輔導學生參加技能檢定優良獎勵要點</w:t>
      </w:r>
      <w:bookmarkEnd w:id="0"/>
    </w:p>
    <w:p w:rsidR="00DA3033" w:rsidRPr="00DE7BDC" w:rsidRDefault="00DA3033" w:rsidP="00DA3033">
      <w:pPr>
        <w:pStyle w:val="a3"/>
        <w:numPr>
          <w:ilvl w:val="0"/>
          <w:numId w:val="2"/>
        </w:numPr>
        <w:spacing w:line="360" w:lineRule="auto"/>
        <w:ind w:leftChars="0"/>
      </w:pPr>
      <w:r w:rsidRPr="00DE7BDC">
        <w:rPr>
          <w:rFonts w:hAnsi="標楷體"/>
        </w:rPr>
        <w:t>目的：為鼓勵學生積極取得國家證照暨落實學生技能訓練。</w:t>
      </w:r>
    </w:p>
    <w:p w:rsidR="00DA3033" w:rsidRPr="00DE7BDC" w:rsidRDefault="00DA3033" w:rsidP="00DA3033">
      <w:pPr>
        <w:pStyle w:val="a3"/>
        <w:numPr>
          <w:ilvl w:val="0"/>
          <w:numId w:val="2"/>
        </w:numPr>
        <w:spacing w:line="360" w:lineRule="auto"/>
        <w:ind w:leftChars="0"/>
      </w:pPr>
      <w:r w:rsidRPr="00DE7BDC">
        <w:rPr>
          <w:rFonts w:hAnsi="標楷體"/>
        </w:rPr>
        <w:t>獎助範圍：</w:t>
      </w:r>
    </w:p>
    <w:p w:rsidR="00DA3033" w:rsidRPr="00DE7BDC" w:rsidRDefault="00DA3033" w:rsidP="00DA3033">
      <w:pPr>
        <w:pStyle w:val="a3"/>
        <w:numPr>
          <w:ilvl w:val="0"/>
          <w:numId w:val="3"/>
        </w:numPr>
        <w:ind w:leftChars="0"/>
        <w:rPr>
          <w:rFonts w:hAnsi="標楷體"/>
        </w:rPr>
      </w:pPr>
      <w:r w:rsidRPr="00DE7BDC">
        <w:rPr>
          <w:rFonts w:hAnsi="標楷體"/>
        </w:rPr>
        <w:t>各科指導學生參加在校生丙級技術士合格檢定，取得各職類丙級技術士證照，在學生最高年級畢業當年達在籍總人數95%以上者。</w:t>
      </w:r>
    </w:p>
    <w:p w:rsidR="00DA3033" w:rsidRPr="00DE7BDC" w:rsidRDefault="00DA3033" w:rsidP="00DA3033">
      <w:pPr>
        <w:pStyle w:val="a3"/>
        <w:numPr>
          <w:ilvl w:val="0"/>
          <w:numId w:val="3"/>
        </w:numPr>
        <w:ind w:leftChars="0"/>
        <w:rPr>
          <w:rFonts w:hAnsi="標楷體"/>
        </w:rPr>
      </w:pPr>
      <w:r w:rsidRPr="00DE7BDC">
        <w:rPr>
          <w:rFonts w:hAnsi="標楷體"/>
        </w:rPr>
        <w:t>各科指導學生參加乙級技術士合格檢定，取得各職類乙級技術士證照，在學生最高年級畢業當年達在籍總人數50%以上者。</w:t>
      </w:r>
    </w:p>
    <w:p w:rsidR="00DA3033" w:rsidRPr="00DE7BDC" w:rsidRDefault="00DA3033" w:rsidP="00DA3033">
      <w:pPr>
        <w:pStyle w:val="a3"/>
        <w:numPr>
          <w:ilvl w:val="0"/>
          <w:numId w:val="2"/>
        </w:numPr>
        <w:spacing w:line="360" w:lineRule="auto"/>
        <w:ind w:leftChars="0"/>
        <w:rPr>
          <w:rFonts w:hAnsi="標楷體"/>
        </w:rPr>
      </w:pPr>
      <w:r w:rsidRPr="00A93E40">
        <w:rPr>
          <w:rFonts w:hAnsi="標楷體"/>
        </w:rPr>
        <w:t>獎勵標準：任選一項</w:t>
      </w:r>
    </w:p>
    <w:p w:rsidR="00DA3033" w:rsidRPr="00DE7BDC" w:rsidRDefault="00DA3033" w:rsidP="00DA3033">
      <w:pPr>
        <w:pStyle w:val="a3"/>
        <w:numPr>
          <w:ilvl w:val="0"/>
          <w:numId w:val="4"/>
        </w:numPr>
        <w:ind w:leftChars="0"/>
        <w:rPr>
          <w:rFonts w:hAnsi="標楷體"/>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814"/>
        <w:gridCol w:w="1815"/>
        <w:gridCol w:w="1815"/>
        <w:gridCol w:w="4250"/>
      </w:tblGrid>
      <w:tr w:rsidR="00DA3033" w:rsidRPr="00A93E40" w:rsidTr="00CF20A3">
        <w:trPr>
          <w:trHeight w:val="343"/>
          <w:jc w:val="center"/>
        </w:trPr>
        <w:tc>
          <w:tcPr>
            <w:tcW w:w="936" w:type="pct"/>
          </w:tcPr>
          <w:p w:rsidR="00DA3033" w:rsidRPr="00A93E40" w:rsidRDefault="00DA3033" w:rsidP="00CF20A3">
            <w:pPr>
              <w:spacing w:line="360" w:lineRule="auto"/>
              <w:jc w:val="center"/>
              <w:rPr>
                <w:rFonts w:eastAsia="標楷體"/>
              </w:rPr>
            </w:pPr>
            <w:r w:rsidRPr="00A93E40">
              <w:rPr>
                <w:rFonts w:eastAsia="標楷體" w:hAnsi="標楷體"/>
              </w:rPr>
              <w:t>檢定項目</w:t>
            </w:r>
          </w:p>
        </w:tc>
        <w:tc>
          <w:tcPr>
            <w:tcW w:w="936" w:type="pct"/>
          </w:tcPr>
          <w:p w:rsidR="00DA3033" w:rsidRPr="00A93E40" w:rsidRDefault="00DA3033" w:rsidP="00CF20A3">
            <w:pPr>
              <w:spacing w:line="360" w:lineRule="auto"/>
              <w:jc w:val="center"/>
              <w:rPr>
                <w:rFonts w:eastAsia="標楷體"/>
              </w:rPr>
            </w:pPr>
            <w:r w:rsidRPr="00A93E40">
              <w:rPr>
                <w:rFonts w:eastAsia="標楷體" w:hAnsi="標楷體"/>
              </w:rPr>
              <w:t>及格率</w:t>
            </w:r>
          </w:p>
        </w:tc>
        <w:tc>
          <w:tcPr>
            <w:tcW w:w="936" w:type="pct"/>
          </w:tcPr>
          <w:p w:rsidR="00DA3033" w:rsidRPr="00A93E40" w:rsidRDefault="00DA3033" w:rsidP="00CF20A3">
            <w:pPr>
              <w:spacing w:line="360" w:lineRule="auto"/>
              <w:jc w:val="center"/>
              <w:rPr>
                <w:rFonts w:eastAsia="標楷體"/>
              </w:rPr>
            </w:pPr>
            <w:r w:rsidRPr="00A93E40">
              <w:rPr>
                <w:rFonts w:eastAsia="標楷體" w:hAnsi="標楷體"/>
              </w:rPr>
              <w:t>獎勵金額</w:t>
            </w:r>
          </w:p>
        </w:tc>
        <w:tc>
          <w:tcPr>
            <w:tcW w:w="2193" w:type="pct"/>
          </w:tcPr>
          <w:p w:rsidR="00DA3033" w:rsidRPr="00A93E40" w:rsidRDefault="00DA3033" w:rsidP="00CF20A3">
            <w:pPr>
              <w:spacing w:line="360" w:lineRule="auto"/>
              <w:jc w:val="distribute"/>
              <w:rPr>
                <w:rFonts w:eastAsia="標楷體"/>
              </w:rPr>
            </w:pPr>
            <w:r w:rsidRPr="00A93E40">
              <w:rPr>
                <w:rFonts w:eastAsia="標楷體" w:hAnsi="標楷體"/>
              </w:rPr>
              <w:t>備註</w:t>
            </w:r>
          </w:p>
        </w:tc>
      </w:tr>
      <w:tr w:rsidR="00DA3033" w:rsidRPr="00A93E40" w:rsidTr="00CF20A3">
        <w:trPr>
          <w:trHeight w:val="358"/>
          <w:jc w:val="center"/>
        </w:trPr>
        <w:tc>
          <w:tcPr>
            <w:tcW w:w="936" w:type="pct"/>
          </w:tcPr>
          <w:p w:rsidR="00DA3033" w:rsidRPr="00A93E40" w:rsidRDefault="00DA3033" w:rsidP="00CF20A3">
            <w:pPr>
              <w:spacing w:line="360" w:lineRule="auto"/>
              <w:jc w:val="center"/>
              <w:rPr>
                <w:rFonts w:eastAsia="標楷體"/>
              </w:rPr>
            </w:pPr>
            <w:r w:rsidRPr="00A93E40">
              <w:rPr>
                <w:rFonts w:eastAsia="標楷體" w:hAnsi="標楷體"/>
              </w:rPr>
              <w:t>丙級技術士</w:t>
            </w:r>
          </w:p>
        </w:tc>
        <w:tc>
          <w:tcPr>
            <w:tcW w:w="936" w:type="pct"/>
          </w:tcPr>
          <w:p w:rsidR="00DA3033" w:rsidRPr="00A93E40" w:rsidRDefault="00DA3033" w:rsidP="00CF20A3">
            <w:pPr>
              <w:spacing w:line="360" w:lineRule="auto"/>
              <w:jc w:val="center"/>
              <w:rPr>
                <w:rFonts w:eastAsia="標楷體"/>
              </w:rPr>
            </w:pPr>
            <w:r w:rsidRPr="00A93E40">
              <w:rPr>
                <w:rFonts w:eastAsia="標楷體"/>
              </w:rPr>
              <w:t>95%</w:t>
            </w:r>
            <w:r w:rsidRPr="00A93E40">
              <w:rPr>
                <w:rFonts w:eastAsia="標楷體" w:hAnsi="標楷體"/>
              </w:rPr>
              <w:t>以上</w:t>
            </w:r>
          </w:p>
        </w:tc>
        <w:tc>
          <w:tcPr>
            <w:tcW w:w="936" w:type="pct"/>
          </w:tcPr>
          <w:p w:rsidR="00DA3033" w:rsidRPr="00A93E40" w:rsidRDefault="00DA3033" w:rsidP="00CF20A3">
            <w:pPr>
              <w:spacing w:line="360" w:lineRule="auto"/>
              <w:jc w:val="center"/>
              <w:rPr>
                <w:rFonts w:eastAsia="標楷體"/>
              </w:rPr>
            </w:pPr>
            <w:r w:rsidRPr="00A93E40">
              <w:rPr>
                <w:rFonts w:eastAsia="標楷體"/>
              </w:rPr>
              <w:t>3,000</w:t>
            </w:r>
            <w:r w:rsidRPr="00A93E40">
              <w:rPr>
                <w:rFonts w:eastAsia="標楷體" w:hAnsi="標楷體"/>
              </w:rPr>
              <w:t>元</w:t>
            </w:r>
          </w:p>
        </w:tc>
        <w:tc>
          <w:tcPr>
            <w:tcW w:w="2193" w:type="pct"/>
            <w:vMerge w:val="restart"/>
          </w:tcPr>
          <w:p w:rsidR="00DA3033" w:rsidRPr="00A93E40" w:rsidRDefault="00DA3033" w:rsidP="00DA3033">
            <w:pPr>
              <w:pStyle w:val="a3"/>
              <w:numPr>
                <w:ilvl w:val="0"/>
                <w:numId w:val="1"/>
              </w:numPr>
              <w:spacing w:line="360" w:lineRule="auto"/>
              <w:ind w:leftChars="0"/>
              <w:jc w:val="both"/>
            </w:pPr>
            <w:r w:rsidRPr="00A93E40">
              <w:rPr>
                <w:rFonts w:hAnsi="標楷體"/>
              </w:rPr>
              <w:t>及格率計算以各該科最高年級在籍學生總人數與及格總人數之比。</w:t>
            </w:r>
          </w:p>
          <w:p w:rsidR="00DA3033" w:rsidRPr="00A93E40" w:rsidRDefault="00DA3033" w:rsidP="00DA3033">
            <w:pPr>
              <w:pStyle w:val="a3"/>
              <w:numPr>
                <w:ilvl w:val="0"/>
                <w:numId w:val="1"/>
              </w:numPr>
              <w:spacing w:line="360" w:lineRule="auto"/>
              <w:ind w:leftChars="0"/>
              <w:jc w:val="both"/>
            </w:pPr>
            <w:r w:rsidRPr="00A93E40">
              <w:rPr>
                <w:rFonts w:hAnsi="標楷體"/>
              </w:rPr>
              <w:t>及格人數以該科</w:t>
            </w:r>
            <w:r w:rsidRPr="00A93E40">
              <w:t>3(4)</w:t>
            </w:r>
            <w:r w:rsidRPr="00A93E40">
              <w:rPr>
                <w:rFonts w:hAnsi="標楷體"/>
              </w:rPr>
              <w:t>年級畢業前取得證照數為準。</w:t>
            </w:r>
          </w:p>
          <w:p w:rsidR="00DA3033" w:rsidRPr="00A93E40" w:rsidRDefault="00DA3033" w:rsidP="00DA3033">
            <w:pPr>
              <w:pStyle w:val="a3"/>
              <w:numPr>
                <w:ilvl w:val="0"/>
                <w:numId w:val="1"/>
              </w:numPr>
              <w:spacing w:line="360" w:lineRule="auto"/>
              <w:ind w:leftChars="0"/>
              <w:jc w:val="both"/>
            </w:pPr>
            <w:r w:rsidRPr="00A93E40">
              <w:rPr>
                <w:rFonts w:hAnsi="標楷體"/>
              </w:rPr>
              <w:t>日、夜間</w:t>
            </w:r>
            <w:r>
              <w:rPr>
                <w:rFonts w:hAnsi="標楷體" w:hint="eastAsia"/>
              </w:rPr>
              <w:t>部</w:t>
            </w:r>
            <w:r w:rsidRPr="00A93E40">
              <w:rPr>
                <w:rFonts w:hAnsi="標楷體"/>
              </w:rPr>
              <w:t>獎勵分別計算。</w:t>
            </w:r>
          </w:p>
          <w:p w:rsidR="00DA3033" w:rsidRPr="00A93E40" w:rsidRDefault="00DA3033" w:rsidP="00DA3033">
            <w:pPr>
              <w:pStyle w:val="a3"/>
              <w:numPr>
                <w:ilvl w:val="0"/>
                <w:numId w:val="1"/>
              </w:numPr>
              <w:spacing w:line="360" w:lineRule="auto"/>
              <w:ind w:leftChars="0"/>
              <w:jc w:val="both"/>
            </w:pPr>
            <w:r w:rsidRPr="00A93E40">
              <w:rPr>
                <w:rFonts w:hAnsi="標楷體"/>
              </w:rPr>
              <w:t>本獎勵以科為單位。</w:t>
            </w:r>
          </w:p>
        </w:tc>
      </w:tr>
      <w:tr w:rsidR="00DA3033" w:rsidRPr="00A93E40" w:rsidTr="00CF20A3">
        <w:trPr>
          <w:trHeight w:val="358"/>
          <w:jc w:val="center"/>
        </w:trPr>
        <w:tc>
          <w:tcPr>
            <w:tcW w:w="936" w:type="pct"/>
          </w:tcPr>
          <w:p w:rsidR="00DA3033" w:rsidRPr="00A93E40" w:rsidRDefault="00DA3033" w:rsidP="00CF20A3">
            <w:pPr>
              <w:spacing w:line="360" w:lineRule="auto"/>
              <w:jc w:val="center"/>
              <w:rPr>
                <w:rFonts w:eastAsia="標楷體"/>
              </w:rPr>
            </w:pPr>
            <w:r w:rsidRPr="00A93E40">
              <w:rPr>
                <w:rFonts w:eastAsia="標楷體" w:hAnsi="標楷體"/>
              </w:rPr>
              <w:t>乙級技術士</w:t>
            </w:r>
          </w:p>
        </w:tc>
        <w:tc>
          <w:tcPr>
            <w:tcW w:w="936" w:type="pct"/>
          </w:tcPr>
          <w:p w:rsidR="00DA3033" w:rsidRPr="00A93E40" w:rsidRDefault="00DA3033" w:rsidP="00CF20A3">
            <w:pPr>
              <w:spacing w:line="360" w:lineRule="auto"/>
              <w:jc w:val="center"/>
              <w:rPr>
                <w:rFonts w:eastAsia="標楷體"/>
              </w:rPr>
            </w:pPr>
            <w:r w:rsidRPr="00A93E40">
              <w:rPr>
                <w:rFonts w:eastAsia="標楷體"/>
              </w:rPr>
              <w:t>50%</w:t>
            </w:r>
            <w:r w:rsidRPr="00A93E40">
              <w:rPr>
                <w:rFonts w:eastAsia="標楷體" w:hAnsi="標楷體"/>
              </w:rPr>
              <w:t>以上</w:t>
            </w:r>
          </w:p>
        </w:tc>
        <w:tc>
          <w:tcPr>
            <w:tcW w:w="936" w:type="pct"/>
          </w:tcPr>
          <w:p w:rsidR="00DA3033" w:rsidRPr="00A93E40" w:rsidRDefault="00DA3033" w:rsidP="00CF20A3">
            <w:pPr>
              <w:spacing w:line="360" w:lineRule="auto"/>
              <w:jc w:val="center"/>
              <w:rPr>
                <w:rFonts w:eastAsia="標楷體"/>
              </w:rPr>
            </w:pPr>
            <w:r w:rsidRPr="00A93E40">
              <w:rPr>
                <w:rFonts w:eastAsia="標楷體"/>
              </w:rPr>
              <w:t>5,000</w:t>
            </w:r>
            <w:r w:rsidRPr="00A93E40">
              <w:rPr>
                <w:rFonts w:eastAsia="標楷體" w:hAnsi="標楷體"/>
              </w:rPr>
              <w:t>元</w:t>
            </w:r>
          </w:p>
        </w:tc>
        <w:tc>
          <w:tcPr>
            <w:tcW w:w="2193" w:type="pct"/>
            <w:vMerge/>
          </w:tcPr>
          <w:p w:rsidR="00DA3033" w:rsidRPr="00A93E40" w:rsidRDefault="00DA3033" w:rsidP="00CF20A3">
            <w:pPr>
              <w:spacing w:line="360" w:lineRule="auto"/>
              <w:rPr>
                <w:rFonts w:eastAsia="標楷體"/>
              </w:rPr>
            </w:pPr>
          </w:p>
        </w:tc>
      </w:tr>
      <w:tr w:rsidR="00DA3033" w:rsidRPr="00A93E40" w:rsidTr="00CF20A3">
        <w:trPr>
          <w:trHeight w:val="343"/>
          <w:jc w:val="center"/>
        </w:trPr>
        <w:tc>
          <w:tcPr>
            <w:tcW w:w="936" w:type="pct"/>
          </w:tcPr>
          <w:p w:rsidR="00DA3033" w:rsidRPr="00A93E40" w:rsidRDefault="00DA3033" w:rsidP="00CF20A3">
            <w:pPr>
              <w:spacing w:line="360" w:lineRule="auto"/>
              <w:jc w:val="center"/>
              <w:rPr>
                <w:rFonts w:eastAsia="標楷體"/>
              </w:rPr>
            </w:pPr>
            <w:r w:rsidRPr="00A93E40">
              <w:rPr>
                <w:rFonts w:eastAsia="標楷體" w:hAnsi="標楷體"/>
              </w:rPr>
              <w:t>乙級技術士</w:t>
            </w:r>
          </w:p>
        </w:tc>
        <w:tc>
          <w:tcPr>
            <w:tcW w:w="936" w:type="pct"/>
          </w:tcPr>
          <w:p w:rsidR="00DA3033" w:rsidRPr="00A93E40" w:rsidRDefault="00DA3033" w:rsidP="00CF20A3">
            <w:pPr>
              <w:spacing w:line="360" w:lineRule="auto"/>
              <w:jc w:val="center"/>
              <w:rPr>
                <w:rFonts w:eastAsia="標楷體"/>
              </w:rPr>
            </w:pPr>
            <w:r w:rsidRPr="00A93E40">
              <w:rPr>
                <w:rFonts w:eastAsia="標楷體"/>
              </w:rPr>
              <w:t>60%</w:t>
            </w:r>
            <w:r w:rsidRPr="00A93E40">
              <w:rPr>
                <w:rFonts w:eastAsia="標楷體" w:hAnsi="標楷體"/>
              </w:rPr>
              <w:t>以上</w:t>
            </w:r>
          </w:p>
        </w:tc>
        <w:tc>
          <w:tcPr>
            <w:tcW w:w="936" w:type="pct"/>
          </w:tcPr>
          <w:p w:rsidR="00DA3033" w:rsidRPr="00A93E40" w:rsidRDefault="00DA3033" w:rsidP="00CF20A3">
            <w:pPr>
              <w:spacing w:line="360" w:lineRule="auto"/>
              <w:jc w:val="center"/>
              <w:rPr>
                <w:rFonts w:eastAsia="標楷體"/>
              </w:rPr>
            </w:pPr>
            <w:r w:rsidRPr="00A93E40">
              <w:rPr>
                <w:rFonts w:eastAsia="標楷體"/>
              </w:rPr>
              <w:t>6,000</w:t>
            </w:r>
            <w:r w:rsidRPr="00A93E40">
              <w:rPr>
                <w:rFonts w:eastAsia="標楷體" w:hAnsi="標楷體"/>
              </w:rPr>
              <w:t>元</w:t>
            </w:r>
          </w:p>
        </w:tc>
        <w:tc>
          <w:tcPr>
            <w:tcW w:w="2193" w:type="pct"/>
            <w:vMerge/>
          </w:tcPr>
          <w:p w:rsidR="00DA3033" w:rsidRPr="00A93E40" w:rsidRDefault="00DA3033" w:rsidP="00CF20A3">
            <w:pPr>
              <w:spacing w:line="360" w:lineRule="auto"/>
              <w:rPr>
                <w:rFonts w:eastAsia="標楷體"/>
              </w:rPr>
            </w:pPr>
          </w:p>
        </w:tc>
      </w:tr>
      <w:tr w:rsidR="00DA3033" w:rsidRPr="00A93E40" w:rsidTr="00CF20A3">
        <w:trPr>
          <w:trHeight w:val="358"/>
          <w:jc w:val="center"/>
        </w:trPr>
        <w:tc>
          <w:tcPr>
            <w:tcW w:w="936" w:type="pct"/>
          </w:tcPr>
          <w:p w:rsidR="00DA3033" w:rsidRPr="00A93E40" w:rsidRDefault="00DA3033" w:rsidP="00CF20A3">
            <w:pPr>
              <w:spacing w:line="360" w:lineRule="auto"/>
              <w:jc w:val="center"/>
              <w:rPr>
                <w:rFonts w:eastAsia="標楷體"/>
              </w:rPr>
            </w:pPr>
            <w:r w:rsidRPr="00A93E40">
              <w:rPr>
                <w:rFonts w:eastAsia="標楷體" w:hAnsi="標楷體"/>
              </w:rPr>
              <w:t>乙級技術士</w:t>
            </w:r>
          </w:p>
        </w:tc>
        <w:tc>
          <w:tcPr>
            <w:tcW w:w="936" w:type="pct"/>
          </w:tcPr>
          <w:p w:rsidR="00DA3033" w:rsidRPr="00A93E40" w:rsidRDefault="00DA3033" w:rsidP="00CF20A3">
            <w:pPr>
              <w:spacing w:line="360" w:lineRule="auto"/>
              <w:jc w:val="center"/>
              <w:rPr>
                <w:rFonts w:eastAsia="標楷體"/>
              </w:rPr>
            </w:pPr>
            <w:r w:rsidRPr="00A93E40">
              <w:rPr>
                <w:rFonts w:eastAsia="標楷體"/>
              </w:rPr>
              <w:t>70%</w:t>
            </w:r>
            <w:r w:rsidRPr="00A93E40">
              <w:rPr>
                <w:rFonts w:eastAsia="標楷體" w:hAnsi="標楷體"/>
              </w:rPr>
              <w:t>以上</w:t>
            </w:r>
          </w:p>
        </w:tc>
        <w:tc>
          <w:tcPr>
            <w:tcW w:w="936" w:type="pct"/>
          </w:tcPr>
          <w:p w:rsidR="00DA3033" w:rsidRPr="00A93E40" w:rsidRDefault="00DA3033" w:rsidP="00CF20A3">
            <w:pPr>
              <w:spacing w:line="360" w:lineRule="auto"/>
              <w:jc w:val="center"/>
              <w:rPr>
                <w:rFonts w:eastAsia="標楷體"/>
              </w:rPr>
            </w:pPr>
            <w:r w:rsidRPr="00A93E40">
              <w:rPr>
                <w:rFonts w:eastAsia="標楷體"/>
              </w:rPr>
              <w:t>7,000</w:t>
            </w:r>
            <w:r w:rsidRPr="00A93E40">
              <w:rPr>
                <w:rFonts w:eastAsia="標楷體" w:hAnsi="標楷體"/>
              </w:rPr>
              <w:t>元</w:t>
            </w:r>
          </w:p>
        </w:tc>
        <w:tc>
          <w:tcPr>
            <w:tcW w:w="2193" w:type="pct"/>
            <w:vMerge/>
          </w:tcPr>
          <w:p w:rsidR="00DA3033" w:rsidRPr="00A93E40" w:rsidRDefault="00DA3033" w:rsidP="00CF20A3">
            <w:pPr>
              <w:spacing w:line="360" w:lineRule="auto"/>
              <w:rPr>
                <w:rFonts w:eastAsia="標楷體"/>
              </w:rPr>
            </w:pPr>
          </w:p>
        </w:tc>
      </w:tr>
      <w:tr w:rsidR="00DA3033" w:rsidRPr="00A93E40" w:rsidTr="00CF20A3">
        <w:trPr>
          <w:trHeight w:val="358"/>
          <w:jc w:val="center"/>
        </w:trPr>
        <w:tc>
          <w:tcPr>
            <w:tcW w:w="936" w:type="pct"/>
          </w:tcPr>
          <w:p w:rsidR="00DA3033" w:rsidRPr="00A93E40" w:rsidRDefault="00DA3033" w:rsidP="00CF20A3">
            <w:pPr>
              <w:spacing w:line="360" w:lineRule="auto"/>
              <w:jc w:val="center"/>
              <w:rPr>
                <w:rFonts w:eastAsia="標楷體"/>
              </w:rPr>
            </w:pPr>
            <w:r w:rsidRPr="00A93E40">
              <w:rPr>
                <w:rFonts w:eastAsia="標楷體" w:hAnsi="標楷體"/>
              </w:rPr>
              <w:t>乙級技術士</w:t>
            </w:r>
          </w:p>
        </w:tc>
        <w:tc>
          <w:tcPr>
            <w:tcW w:w="936" w:type="pct"/>
          </w:tcPr>
          <w:p w:rsidR="00DA3033" w:rsidRPr="00A93E40" w:rsidRDefault="00DA3033" w:rsidP="00CF20A3">
            <w:pPr>
              <w:spacing w:line="360" w:lineRule="auto"/>
              <w:jc w:val="center"/>
              <w:rPr>
                <w:rFonts w:eastAsia="標楷體"/>
              </w:rPr>
            </w:pPr>
            <w:r w:rsidRPr="00A93E40">
              <w:rPr>
                <w:rFonts w:eastAsia="標楷體"/>
              </w:rPr>
              <w:t>80%</w:t>
            </w:r>
            <w:r w:rsidRPr="00A93E40">
              <w:rPr>
                <w:rFonts w:eastAsia="標楷體" w:hAnsi="標楷體"/>
              </w:rPr>
              <w:t>以上</w:t>
            </w:r>
          </w:p>
        </w:tc>
        <w:tc>
          <w:tcPr>
            <w:tcW w:w="936" w:type="pct"/>
          </w:tcPr>
          <w:p w:rsidR="00DA3033" w:rsidRPr="00A93E40" w:rsidRDefault="00DA3033" w:rsidP="00CF20A3">
            <w:pPr>
              <w:spacing w:line="360" w:lineRule="auto"/>
              <w:jc w:val="center"/>
              <w:rPr>
                <w:rFonts w:eastAsia="標楷體"/>
              </w:rPr>
            </w:pPr>
            <w:r w:rsidRPr="00A93E40">
              <w:rPr>
                <w:rFonts w:eastAsia="標楷體"/>
              </w:rPr>
              <w:t>8,000</w:t>
            </w:r>
            <w:r w:rsidRPr="00A93E40">
              <w:rPr>
                <w:rFonts w:eastAsia="標楷體" w:hAnsi="標楷體"/>
              </w:rPr>
              <w:t>元</w:t>
            </w:r>
          </w:p>
        </w:tc>
        <w:tc>
          <w:tcPr>
            <w:tcW w:w="2193" w:type="pct"/>
            <w:vMerge/>
          </w:tcPr>
          <w:p w:rsidR="00DA3033" w:rsidRPr="00A93E40" w:rsidRDefault="00DA3033" w:rsidP="00CF20A3">
            <w:pPr>
              <w:spacing w:line="360" w:lineRule="auto"/>
              <w:rPr>
                <w:rFonts w:eastAsia="標楷體"/>
              </w:rPr>
            </w:pPr>
          </w:p>
        </w:tc>
      </w:tr>
      <w:tr w:rsidR="00DA3033" w:rsidRPr="00A93E40" w:rsidTr="00CF20A3">
        <w:trPr>
          <w:trHeight w:val="358"/>
          <w:jc w:val="center"/>
        </w:trPr>
        <w:tc>
          <w:tcPr>
            <w:tcW w:w="936" w:type="pct"/>
          </w:tcPr>
          <w:p w:rsidR="00DA3033" w:rsidRPr="00A93E40" w:rsidRDefault="00DA3033" w:rsidP="00CF20A3">
            <w:pPr>
              <w:spacing w:line="360" w:lineRule="auto"/>
              <w:jc w:val="center"/>
              <w:rPr>
                <w:rFonts w:eastAsia="標楷體"/>
              </w:rPr>
            </w:pPr>
            <w:r w:rsidRPr="00A93E40">
              <w:rPr>
                <w:rFonts w:eastAsia="標楷體" w:hAnsi="標楷體"/>
              </w:rPr>
              <w:t>乙級技術士</w:t>
            </w:r>
          </w:p>
        </w:tc>
        <w:tc>
          <w:tcPr>
            <w:tcW w:w="936" w:type="pct"/>
          </w:tcPr>
          <w:p w:rsidR="00DA3033" w:rsidRPr="00A93E40" w:rsidRDefault="00DA3033" w:rsidP="00CF20A3">
            <w:pPr>
              <w:spacing w:line="360" w:lineRule="auto"/>
              <w:jc w:val="center"/>
              <w:rPr>
                <w:rFonts w:eastAsia="標楷體"/>
              </w:rPr>
            </w:pPr>
            <w:r w:rsidRPr="00A93E40">
              <w:rPr>
                <w:rFonts w:eastAsia="標楷體"/>
              </w:rPr>
              <w:t>90%</w:t>
            </w:r>
            <w:r w:rsidRPr="00A93E40">
              <w:rPr>
                <w:rFonts w:eastAsia="標楷體" w:hAnsi="標楷體"/>
              </w:rPr>
              <w:t>以上</w:t>
            </w:r>
          </w:p>
        </w:tc>
        <w:tc>
          <w:tcPr>
            <w:tcW w:w="936" w:type="pct"/>
          </w:tcPr>
          <w:p w:rsidR="00DA3033" w:rsidRPr="00A93E40" w:rsidRDefault="00DA3033" w:rsidP="00CF20A3">
            <w:pPr>
              <w:spacing w:line="360" w:lineRule="auto"/>
              <w:jc w:val="center"/>
              <w:rPr>
                <w:rFonts w:eastAsia="標楷體"/>
              </w:rPr>
            </w:pPr>
            <w:r w:rsidRPr="00A93E40">
              <w:rPr>
                <w:rFonts w:eastAsia="標楷體"/>
              </w:rPr>
              <w:t>9,000</w:t>
            </w:r>
            <w:r w:rsidRPr="00A93E40">
              <w:rPr>
                <w:rFonts w:eastAsia="標楷體" w:hAnsi="標楷體"/>
              </w:rPr>
              <w:t>元</w:t>
            </w:r>
          </w:p>
        </w:tc>
        <w:tc>
          <w:tcPr>
            <w:tcW w:w="2193" w:type="pct"/>
            <w:vMerge/>
          </w:tcPr>
          <w:p w:rsidR="00DA3033" w:rsidRPr="00A93E40" w:rsidRDefault="00DA3033" w:rsidP="00CF20A3">
            <w:pPr>
              <w:spacing w:line="360" w:lineRule="auto"/>
              <w:rPr>
                <w:rFonts w:eastAsia="標楷體"/>
              </w:rPr>
            </w:pPr>
          </w:p>
        </w:tc>
      </w:tr>
      <w:tr w:rsidR="00DA3033" w:rsidRPr="00A93E40" w:rsidTr="00CF20A3">
        <w:trPr>
          <w:trHeight w:val="670"/>
          <w:jc w:val="center"/>
        </w:trPr>
        <w:tc>
          <w:tcPr>
            <w:tcW w:w="936" w:type="pct"/>
            <w:vAlign w:val="center"/>
          </w:tcPr>
          <w:p w:rsidR="00DA3033" w:rsidRPr="00A93E40" w:rsidRDefault="00DA3033" w:rsidP="00CF20A3">
            <w:pPr>
              <w:spacing w:line="360" w:lineRule="auto"/>
              <w:jc w:val="center"/>
              <w:rPr>
                <w:rFonts w:eastAsia="標楷體"/>
              </w:rPr>
            </w:pPr>
            <w:r w:rsidRPr="00A93E40">
              <w:rPr>
                <w:rFonts w:eastAsia="標楷體" w:hAnsi="標楷體"/>
              </w:rPr>
              <w:t>乙級技術士</w:t>
            </w:r>
          </w:p>
        </w:tc>
        <w:tc>
          <w:tcPr>
            <w:tcW w:w="936" w:type="pct"/>
            <w:vAlign w:val="center"/>
          </w:tcPr>
          <w:p w:rsidR="00DA3033" w:rsidRPr="00A93E40" w:rsidRDefault="00DA3033" w:rsidP="00CF20A3">
            <w:pPr>
              <w:spacing w:line="360" w:lineRule="auto"/>
              <w:jc w:val="center"/>
              <w:rPr>
                <w:rFonts w:eastAsia="標楷體"/>
              </w:rPr>
            </w:pPr>
            <w:r w:rsidRPr="00A93E40">
              <w:rPr>
                <w:rFonts w:eastAsia="標楷體"/>
              </w:rPr>
              <w:t>100%</w:t>
            </w:r>
            <w:r w:rsidRPr="00A93E40">
              <w:rPr>
                <w:rFonts w:eastAsia="標楷體" w:hAnsi="標楷體"/>
              </w:rPr>
              <w:t>以上</w:t>
            </w:r>
          </w:p>
        </w:tc>
        <w:tc>
          <w:tcPr>
            <w:tcW w:w="936" w:type="pct"/>
            <w:vAlign w:val="center"/>
          </w:tcPr>
          <w:p w:rsidR="00DA3033" w:rsidRPr="00A93E40" w:rsidRDefault="00DA3033" w:rsidP="00CF20A3">
            <w:pPr>
              <w:spacing w:line="360" w:lineRule="auto"/>
              <w:jc w:val="center"/>
              <w:rPr>
                <w:rFonts w:eastAsia="標楷體"/>
              </w:rPr>
            </w:pPr>
            <w:r w:rsidRPr="00A93E40">
              <w:rPr>
                <w:rFonts w:eastAsia="標楷體"/>
              </w:rPr>
              <w:t>10,000</w:t>
            </w:r>
            <w:r w:rsidRPr="00A93E40">
              <w:rPr>
                <w:rFonts w:eastAsia="標楷體" w:hAnsi="標楷體"/>
              </w:rPr>
              <w:t>元</w:t>
            </w:r>
          </w:p>
        </w:tc>
        <w:tc>
          <w:tcPr>
            <w:tcW w:w="2193" w:type="pct"/>
            <w:vMerge/>
          </w:tcPr>
          <w:p w:rsidR="00DA3033" w:rsidRPr="00A93E40" w:rsidRDefault="00DA3033" w:rsidP="00CF20A3">
            <w:pPr>
              <w:spacing w:line="360" w:lineRule="auto"/>
              <w:rPr>
                <w:rFonts w:eastAsia="標楷體"/>
              </w:rPr>
            </w:pPr>
          </w:p>
        </w:tc>
      </w:tr>
    </w:tbl>
    <w:p w:rsidR="00DA3033" w:rsidRPr="00DE7BDC" w:rsidRDefault="00DA3033" w:rsidP="00DA3033">
      <w:pPr>
        <w:pStyle w:val="a3"/>
        <w:numPr>
          <w:ilvl w:val="0"/>
          <w:numId w:val="4"/>
        </w:numPr>
        <w:ind w:leftChars="0"/>
        <w:rPr>
          <w:rFonts w:hAnsi="標楷體"/>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703"/>
        <w:gridCol w:w="1739"/>
        <w:gridCol w:w="4252"/>
      </w:tblGrid>
      <w:tr w:rsidR="00DA3033" w:rsidRPr="00A93E40" w:rsidTr="00CF20A3">
        <w:trPr>
          <w:trHeight w:val="343"/>
          <w:jc w:val="center"/>
        </w:trPr>
        <w:tc>
          <w:tcPr>
            <w:tcW w:w="1910" w:type="pct"/>
          </w:tcPr>
          <w:p w:rsidR="00DA3033" w:rsidRPr="00A93E40" w:rsidRDefault="00DA3033" w:rsidP="00CF20A3">
            <w:pPr>
              <w:spacing w:line="360" w:lineRule="auto"/>
              <w:jc w:val="center"/>
              <w:rPr>
                <w:rFonts w:eastAsia="標楷體"/>
              </w:rPr>
            </w:pPr>
            <w:r w:rsidRPr="00A93E40">
              <w:rPr>
                <w:rFonts w:eastAsia="標楷體" w:hAnsi="標楷體"/>
              </w:rPr>
              <w:t>進步百分比</w:t>
            </w:r>
          </w:p>
        </w:tc>
        <w:tc>
          <w:tcPr>
            <w:tcW w:w="897" w:type="pct"/>
          </w:tcPr>
          <w:p w:rsidR="00DA3033" w:rsidRPr="00A93E40" w:rsidRDefault="00DA3033" w:rsidP="00CF20A3">
            <w:pPr>
              <w:spacing w:line="360" w:lineRule="auto"/>
              <w:jc w:val="center"/>
              <w:rPr>
                <w:rFonts w:eastAsia="標楷體"/>
              </w:rPr>
            </w:pPr>
            <w:r w:rsidRPr="00A93E40">
              <w:rPr>
                <w:rFonts w:eastAsia="標楷體" w:hAnsi="標楷體"/>
              </w:rPr>
              <w:t>獎勵金額</w:t>
            </w:r>
          </w:p>
        </w:tc>
        <w:tc>
          <w:tcPr>
            <w:tcW w:w="2193" w:type="pct"/>
          </w:tcPr>
          <w:p w:rsidR="00DA3033" w:rsidRPr="00A93E40" w:rsidRDefault="00DA3033" w:rsidP="00CF20A3">
            <w:pPr>
              <w:spacing w:line="360" w:lineRule="auto"/>
              <w:jc w:val="center"/>
              <w:rPr>
                <w:rFonts w:eastAsia="標楷體"/>
              </w:rPr>
            </w:pPr>
            <w:r w:rsidRPr="00A93E40">
              <w:rPr>
                <w:rFonts w:eastAsia="標楷體" w:hAnsi="標楷體"/>
              </w:rPr>
              <w:t>備註</w:t>
            </w:r>
          </w:p>
        </w:tc>
      </w:tr>
      <w:tr w:rsidR="00DA3033" w:rsidRPr="00A93E40" w:rsidTr="00CF20A3">
        <w:trPr>
          <w:trHeight w:val="343"/>
          <w:jc w:val="center"/>
        </w:trPr>
        <w:tc>
          <w:tcPr>
            <w:tcW w:w="1910" w:type="pct"/>
          </w:tcPr>
          <w:p w:rsidR="00DA3033" w:rsidRPr="00A93E40" w:rsidRDefault="00DA3033" w:rsidP="00CF20A3">
            <w:pPr>
              <w:spacing w:line="360" w:lineRule="auto"/>
              <w:jc w:val="center"/>
              <w:rPr>
                <w:rFonts w:eastAsia="標楷體"/>
              </w:rPr>
            </w:pPr>
            <w:r w:rsidRPr="00A93E40">
              <w:rPr>
                <w:rFonts w:eastAsia="標楷體" w:hAnsi="標楷體"/>
              </w:rPr>
              <w:t>較前一年進步</w:t>
            </w:r>
            <w:r w:rsidRPr="00A93E40">
              <w:rPr>
                <w:rFonts w:eastAsia="標楷體"/>
              </w:rPr>
              <w:t>5%</w:t>
            </w:r>
          </w:p>
        </w:tc>
        <w:tc>
          <w:tcPr>
            <w:tcW w:w="897" w:type="pct"/>
          </w:tcPr>
          <w:p w:rsidR="00DA3033" w:rsidRPr="00A93E40" w:rsidRDefault="00DA3033" w:rsidP="00CF20A3">
            <w:pPr>
              <w:spacing w:line="360" w:lineRule="auto"/>
              <w:jc w:val="center"/>
              <w:rPr>
                <w:rFonts w:eastAsia="標楷體"/>
              </w:rPr>
            </w:pPr>
            <w:r w:rsidRPr="00A93E40">
              <w:rPr>
                <w:rFonts w:eastAsia="標楷體"/>
              </w:rPr>
              <w:t>3,000</w:t>
            </w:r>
            <w:r w:rsidRPr="00A93E40">
              <w:rPr>
                <w:rFonts w:eastAsia="標楷體" w:hAnsi="標楷體"/>
              </w:rPr>
              <w:t>元</w:t>
            </w:r>
          </w:p>
        </w:tc>
        <w:tc>
          <w:tcPr>
            <w:tcW w:w="2193" w:type="pct"/>
          </w:tcPr>
          <w:p w:rsidR="00DA3033" w:rsidRPr="00A93E40" w:rsidRDefault="00DA3033" w:rsidP="00CF20A3">
            <w:pPr>
              <w:spacing w:line="360" w:lineRule="auto"/>
              <w:jc w:val="center"/>
              <w:rPr>
                <w:rFonts w:eastAsia="標楷體"/>
              </w:rPr>
            </w:pPr>
          </w:p>
        </w:tc>
      </w:tr>
      <w:tr w:rsidR="00DA3033" w:rsidRPr="00A93E40" w:rsidTr="00CF20A3">
        <w:trPr>
          <w:trHeight w:val="343"/>
          <w:jc w:val="center"/>
        </w:trPr>
        <w:tc>
          <w:tcPr>
            <w:tcW w:w="1910" w:type="pct"/>
          </w:tcPr>
          <w:p w:rsidR="00DA3033" w:rsidRPr="00A93E40" w:rsidRDefault="00DA3033" w:rsidP="00CF20A3">
            <w:pPr>
              <w:spacing w:line="360" w:lineRule="auto"/>
              <w:jc w:val="center"/>
              <w:rPr>
                <w:rFonts w:eastAsia="標楷體"/>
              </w:rPr>
            </w:pPr>
            <w:r w:rsidRPr="00A93E40">
              <w:rPr>
                <w:rFonts w:eastAsia="標楷體" w:hAnsi="標楷體"/>
              </w:rPr>
              <w:t>較前一年進步</w:t>
            </w:r>
            <w:r w:rsidRPr="00A93E40">
              <w:rPr>
                <w:rFonts w:eastAsia="標楷體"/>
              </w:rPr>
              <w:t>10%</w:t>
            </w:r>
          </w:p>
        </w:tc>
        <w:tc>
          <w:tcPr>
            <w:tcW w:w="897" w:type="pct"/>
          </w:tcPr>
          <w:p w:rsidR="00DA3033" w:rsidRPr="00A93E40" w:rsidRDefault="00DA3033" w:rsidP="00CF20A3">
            <w:pPr>
              <w:spacing w:line="360" w:lineRule="auto"/>
              <w:jc w:val="center"/>
              <w:rPr>
                <w:rFonts w:eastAsia="標楷體"/>
              </w:rPr>
            </w:pPr>
            <w:r w:rsidRPr="00A93E40">
              <w:rPr>
                <w:rFonts w:eastAsia="標楷體"/>
              </w:rPr>
              <w:t>6,000</w:t>
            </w:r>
            <w:r w:rsidRPr="00A93E40">
              <w:rPr>
                <w:rFonts w:eastAsia="標楷體" w:hAnsi="標楷體"/>
              </w:rPr>
              <w:t>元</w:t>
            </w:r>
          </w:p>
        </w:tc>
        <w:tc>
          <w:tcPr>
            <w:tcW w:w="2193" w:type="pct"/>
          </w:tcPr>
          <w:p w:rsidR="00DA3033" w:rsidRPr="00A93E40" w:rsidRDefault="00DA3033" w:rsidP="00CF20A3">
            <w:pPr>
              <w:spacing w:line="360" w:lineRule="auto"/>
              <w:jc w:val="center"/>
              <w:rPr>
                <w:rFonts w:eastAsia="標楷體"/>
              </w:rPr>
            </w:pPr>
          </w:p>
        </w:tc>
      </w:tr>
      <w:tr w:rsidR="00DA3033" w:rsidRPr="00A93E40" w:rsidTr="00CF20A3">
        <w:trPr>
          <w:trHeight w:val="343"/>
          <w:jc w:val="center"/>
        </w:trPr>
        <w:tc>
          <w:tcPr>
            <w:tcW w:w="1910" w:type="pct"/>
          </w:tcPr>
          <w:p w:rsidR="00DA3033" w:rsidRPr="00A93E40" w:rsidRDefault="00DA3033" w:rsidP="00CF20A3">
            <w:pPr>
              <w:spacing w:line="360" w:lineRule="auto"/>
              <w:jc w:val="center"/>
              <w:rPr>
                <w:rFonts w:eastAsia="標楷體"/>
              </w:rPr>
            </w:pPr>
            <w:r w:rsidRPr="00A93E40">
              <w:rPr>
                <w:rFonts w:eastAsia="標楷體" w:hAnsi="標楷體"/>
              </w:rPr>
              <w:t>較前一年進步</w:t>
            </w:r>
            <w:r w:rsidRPr="00A93E40">
              <w:rPr>
                <w:rFonts w:eastAsia="標楷體"/>
              </w:rPr>
              <w:t>15%</w:t>
            </w:r>
          </w:p>
        </w:tc>
        <w:tc>
          <w:tcPr>
            <w:tcW w:w="897" w:type="pct"/>
          </w:tcPr>
          <w:p w:rsidR="00DA3033" w:rsidRPr="00A93E40" w:rsidRDefault="00DA3033" w:rsidP="00CF20A3">
            <w:pPr>
              <w:spacing w:line="360" w:lineRule="auto"/>
              <w:jc w:val="center"/>
              <w:rPr>
                <w:rFonts w:eastAsia="標楷體"/>
              </w:rPr>
            </w:pPr>
            <w:r w:rsidRPr="00A93E40">
              <w:rPr>
                <w:rFonts w:eastAsia="標楷體"/>
              </w:rPr>
              <w:t>9,000</w:t>
            </w:r>
            <w:r w:rsidRPr="00A93E40">
              <w:rPr>
                <w:rFonts w:eastAsia="標楷體" w:hAnsi="標楷體"/>
              </w:rPr>
              <w:t>元</w:t>
            </w:r>
          </w:p>
        </w:tc>
        <w:tc>
          <w:tcPr>
            <w:tcW w:w="2193" w:type="pct"/>
          </w:tcPr>
          <w:p w:rsidR="00DA3033" w:rsidRPr="00A93E40" w:rsidRDefault="00DA3033" w:rsidP="00CF20A3">
            <w:pPr>
              <w:spacing w:line="360" w:lineRule="auto"/>
              <w:jc w:val="center"/>
              <w:rPr>
                <w:rFonts w:eastAsia="標楷體"/>
              </w:rPr>
            </w:pPr>
          </w:p>
        </w:tc>
      </w:tr>
    </w:tbl>
    <w:p w:rsidR="00DA3033" w:rsidRPr="00DE7BDC" w:rsidRDefault="00DA3033" w:rsidP="00DA3033">
      <w:pPr>
        <w:pStyle w:val="a3"/>
        <w:numPr>
          <w:ilvl w:val="0"/>
          <w:numId w:val="2"/>
        </w:numPr>
        <w:spacing w:line="360" w:lineRule="auto"/>
        <w:ind w:leftChars="0"/>
        <w:rPr>
          <w:rFonts w:hAnsi="標楷體"/>
        </w:rPr>
      </w:pPr>
      <w:r w:rsidRPr="00A93E40">
        <w:rPr>
          <w:rFonts w:hAnsi="標楷體"/>
        </w:rPr>
        <w:t>畢業前由實習處統整提出申請。</w:t>
      </w:r>
    </w:p>
    <w:p w:rsidR="00DA3033" w:rsidRPr="00DE7BDC" w:rsidRDefault="00DA3033" w:rsidP="00DA3033">
      <w:pPr>
        <w:pStyle w:val="a3"/>
        <w:numPr>
          <w:ilvl w:val="0"/>
          <w:numId w:val="2"/>
        </w:numPr>
        <w:spacing w:line="360" w:lineRule="auto"/>
        <w:ind w:leftChars="0"/>
        <w:rPr>
          <w:rFonts w:hAnsi="標楷體"/>
        </w:rPr>
      </w:pPr>
      <w:r w:rsidRPr="00A93E40">
        <w:rPr>
          <w:rFonts w:hAnsi="標楷體"/>
        </w:rPr>
        <w:t>經費來源：由本校員生消費合作社年度盈餘項下撥付。</w:t>
      </w:r>
    </w:p>
    <w:p w:rsidR="00DA3033" w:rsidRPr="00DE7BDC" w:rsidRDefault="00DA3033" w:rsidP="00DA3033">
      <w:pPr>
        <w:pStyle w:val="a3"/>
        <w:numPr>
          <w:ilvl w:val="0"/>
          <w:numId w:val="2"/>
        </w:numPr>
        <w:spacing w:line="360" w:lineRule="auto"/>
        <w:ind w:leftChars="0"/>
        <w:rPr>
          <w:rFonts w:hAnsi="標楷體"/>
        </w:rPr>
      </w:pPr>
      <w:r w:rsidRPr="00A93E40">
        <w:rPr>
          <w:rFonts w:hAnsi="標楷體"/>
        </w:rPr>
        <w:t>本獎勵要點呈理監事通過後實施，修正時亦同。</w:t>
      </w:r>
    </w:p>
    <w:p w:rsidR="001546D4" w:rsidRPr="00DA3033" w:rsidRDefault="001546D4">
      <w:pPr>
        <w:rPr>
          <w:rFonts w:hint="eastAsia"/>
        </w:rPr>
      </w:pPr>
    </w:p>
    <w:sectPr w:rsidR="001546D4" w:rsidRPr="00DA3033" w:rsidSect="00DA3033">
      <w:pgSz w:w="11906" w:h="16838"/>
      <w:pgMar w:top="1134" w:right="1134" w:bottom="1134" w:left="1134"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AA1DA9"/>
    <w:multiLevelType w:val="hybridMultilevel"/>
    <w:tmpl w:val="FC8C5100"/>
    <w:lvl w:ilvl="0" w:tplc="D73CC200">
      <w:start w:val="1"/>
      <w:numFmt w:val="taiwaneseCountingThousand"/>
      <w:lvlText w:val="%1、"/>
      <w:lvlJc w:val="left"/>
      <w:pPr>
        <w:tabs>
          <w:tab w:val="num" w:pos="567"/>
        </w:tabs>
        <w:ind w:left="567" w:hanging="56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4186637"/>
    <w:multiLevelType w:val="hybridMultilevel"/>
    <w:tmpl w:val="0EAE854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93A564B"/>
    <w:multiLevelType w:val="hybridMultilevel"/>
    <w:tmpl w:val="B9F4442C"/>
    <w:lvl w:ilvl="0" w:tplc="D2DE4F68">
      <w:start w:val="1"/>
      <w:numFmt w:val="taiwaneseCountingThousand"/>
      <w:lvlText w:val="(%1)"/>
      <w:lvlJc w:val="left"/>
      <w:pPr>
        <w:tabs>
          <w:tab w:val="num" w:pos="1134"/>
        </w:tabs>
        <w:ind w:left="1134" w:hanging="56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7141342"/>
    <w:multiLevelType w:val="hybridMultilevel"/>
    <w:tmpl w:val="B9F4442C"/>
    <w:lvl w:ilvl="0" w:tplc="D2DE4F68">
      <w:start w:val="1"/>
      <w:numFmt w:val="taiwaneseCountingThousand"/>
      <w:lvlText w:val="(%1)"/>
      <w:lvlJc w:val="left"/>
      <w:pPr>
        <w:tabs>
          <w:tab w:val="num" w:pos="1134"/>
        </w:tabs>
        <w:ind w:left="1134" w:hanging="56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A3033"/>
    <w:rsid w:val="001546D4"/>
    <w:rsid w:val="00DA303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03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033"/>
    <w:pPr>
      <w:ind w:leftChars="200" w:left="480"/>
    </w:pPr>
    <w:rPr>
      <w:rFonts w:ascii="標楷體" w:eastAsia="標楷體"/>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486</Characters>
  <Application>Microsoft Office Word</Application>
  <DocSecurity>0</DocSecurity>
  <Lines>4</Lines>
  <Paragraphs>1</Paragraphs>
  <ScaleCrop>false</ScaleCrop>
  <Company>臺北市立松山高級工農職業學校</Company>
  <LinksUpToDate>false</LinksUpToDate>
  <CharactersWithSpaces>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臺北市立松山高級工農職業學校</dc:creator>
  <cp:keywords/>
  <dc:description/>
  <cp:lastModifiedBy>臺北市立松山高級工農職業學校</cp:lastModifiedBy>
  <cp:revision>1</cp:revision>
  <dcterms:created xsi:type="dcterms:W3CDTF">2012-09-16T04:55:00Z</dcterms:created>
  <dcterms:modified xsi:type="dcterms:W3CDTF">2012-09-16T04:57:00Z</dcterms:modified>
</cp:coreProperties>
</file>