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5F" w:rsidRDefault="000D0401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中央政府各機關學校出席費及稿費支給要點</w:t>
      </w:r>
    </w:p>
    <w:p w:rsidR="0081545F" w:rsidRDefault="000D0401">
      <w:pPr>
        <w:pStyle w:val="Standard"/>
        <w:spacing w:line="240" w:lineRule="exact"/>
        <w:jc w:val="right"/>
      </w:pPr>
      <w:r>
        <w:rPr>
          <w:rFonts w:ascii="標楷體" w:eastAsia="標楷體" w:hAnsi="標楷體" w:cs="標楷體"/>
          <w:sz w:val="18"/>
          <w:szCs w:val="18"/>
        </w:rPr>
        <w:t xml:space="preserve">       </w:t>
      </w:r>
      <w:r>
        <w:rPr>
          <w:rFonts w:ascii="標楷體" w:eastAsia="標楷體" w:hAnsi="標楷體" w:cs="標楷體"/>
          <w:spacing w:val="94"/>
          <w:sz w:val="18"/>
          <w:szCs w:val="18"/>
        </w:rPr>
        <w:t>中華民國</w:t>
      </w:r>
      <w:r>
        <w:rPr>
          <w:rFonts w:ascii="標楷體" w:eastAsia="標楷體" w:hAnsi="標楷體" w:cs="標楷體"/>
          <w:spacing w:val="94"/>
          <w:sz w:val="18"/>
          <w:szCs w:val="18"/>
        </w:rPr>
        <w:t>105</w:t>
      </w:r>
      <w:r>
        <w:rPr>
          <w:rFonts w:ascii="標楷體" w:eastAsia="標楷體" w:hAnsi="標楷體" w:cs="標楷體"/>
          <w:spacing w:val="94"/>
          <w:sz w:val="18"/>
          <w:szCs w:val="18"/>
        </w:rPr>
        <w:t>年</w:t>
      </w:r>
      <w:r>
        <w:rPr>
          <w:rFonts w:ascii="標楷體" w:eastAsia="標楷體" w:hAnsi="標楷體" w:cs="標楷體"/>
          <w:spacing w:val="94"/>
          <w:sz w:val="18"/>
          <w:szCs w:val="18"/>
        </w:rPr>
        <w:t>12</w:t>
      </w:r>
      <w:r>
        <w:rPr>
          <w:rFonts w:ascii="標楷體" w:eastAsia="標楷體" w:hAnsi="標楷體" w:cs="標楷體"/>
          <w:spacing w:val="94"/>
          <w:sz w:val="18"/>
          <w:szCs w:val="18"/>
        </w:rPr>
        <w:t>月</w:t>
      </w:r>
      <w:r>
        <w:rPr>
          <w:rFonts w:ascii="標楷體" w:eastAsia="標楷體" w:hAnsi="標楷體" w:cs="標楷體"/>
          <w:spacing w:val="94"/>
          <w:sz w:val="18"/>
          <w:szCs w:val="18"/>
        </w:rPr>
        <w:t>23</w:t>
      </w:r>
      <w:r>
        <w:rPr>
          <w:rFonts w:ascii="標楷體" w:eastAsia="標楷體" w:hAnsi="標楷體" w:cs="標楷體"/>
          <w:spacing w:val="5"/>
          <w:sz w:val="18"/>
          <w:szCs w:val="18"/>
        </w:rPr>
        <w:t>日</w:t>
      </w:r>
      <w:r>
        <w:rPr>
          <w:rFonts w:ascii="標楷體" w:eastAsia="標楷體" w:hAnsi="標楷體" w:cs="標楷體"/>
          <w:spacing w:val="16"/>
          <w:sz w:val="18"/>
          <w:szCs w:val="18"/>
        </w:rPr>
        <w:t>行政院院授主預字第</w:t>
      </w:r>
      <w:r>
        <w:rPr>
          <w:rFonts w:ascii="標楷體" w:eastAsia="標楷體" w:hAnsi="標楷體" w:cs="標楷體"/>
          <w:spacing w:val="16"/>
          <w:sz w:val="18"/>
          <w:szCs w:val="18"/>
        </w:rPr>
        <w:t>1050102953</w:t>
      </w:r>
      <w:r>
        <w:rPr>
          <w:rFonts w:ascii="標楷體" w:eastAsia="標楷體" w:hAnsi="標楷體" w:cs="標楷體"/>
          <w:spacing w:val="16"/>
          <w:sz w:val="18"/>
          <w:szCs w:val="18"/>
        </w:rPr>
        <w:t>號函</w:t>
      </w:r>
      <w:r>
        <w:rPr>
          <w:rFonts w:ascii="標楷體" w:eastAsia="標楷體" w:hAnsi="標楷體" w:cs="標楷體"/>
          <w:spacing w:val="6"/>
          <w:sz w:val="18"/>
          <w:szCs w:val="18"/>
        </w:rPr>
        <w:t>修</w:t>
      </w:r>
      <w:r>
        <w:rPr>
          <w:rFonts w:ascii="標楷體" w:eastAsia="標楷體" w:hAnsi="標楷體" w:cs="標楷體"/>
          <w:spacing w:val="5"/>
          <w:sz w:val="18"/>
          <w:szCs w:val="18"/>
        </w:rPr>
        <w:t>正</w:t>
      </w:r>
    </w:p>
    <w:p w:rsidR="0081545F" w:rsidRDefault="0081545F">
      <w:pPr>
        <w:pStyle w:val="Standard"/>
        <w:spacing w:line="240" w:lineRule="exact"/>
        <w:jc w:val="right"/>
        <w:rPr>
          <w:rFonts w:ascii="標楷體" w:eastAsia="標楷體" w:hAnsi="標楷體" w:cs="標楷體"/>
          <w:sz w:val="18"/>
          <w:szCs w:val="18"/>
        </w:rPr>
      </w:pP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一、為規範中央政府各機關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構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以下簡稱各機關學校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支給出席費及稿費之基準，特訂定本要點。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二、各機關學校邀請本機關學校人員以外之學者專家，參加具有政策性或專案性之重大諮詢事項會議，得支給出席費。</w:t>
      </w:r>
    </w:p>
    <w:p w:rsidR="0081545F" w:rsidRDefault="000D0401">
      <w:pPr>
        <w:pStyle w:val="Standard"/>
        <w:spacing w:line="420" w:lineRule="exact"/>
        <w:ind w:left="58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前項政策性或專案性之重大諮詢事項會議，由各機關學校依會議召開之性質，本於權責自行認定。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三、各機關學校邀請之學者專家，其本人未能出席，而委由他人代理，經徵得邀請機關學校同意，代理出席者得支領出席費。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四、有下列情形之一者，不得支給出席費：</w:t>
      </w:r>
    </w:p>
    <w:p w:rsidR="0081545F" w:rsidRDefault="000D0401">
      <w:pPr>
        <w:pStyle w:val="Standard"/>
        <w:spacing w:line="420" w:lineRule="exact"/>
        <w:ind w:left="633" w:hanging="6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（一）由本機關學校人員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含任務編組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或應邀機關學校指派代表出席會議。</w:t>
      </w:r>
    </w:p>
    <w:p w:rsidR="0081545F" w:rsidRDefault="000D0401">
      <w:pPr>
        <w:pStyle w:val="Standard"/>
        <w:spacing w:line="420" w:lineRule="exact"/>
        <w:ind w:left="633" w:hanging="6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（二）各機關學校召開之會議屬一般經常性業務會議。</w:t>
      </w:r>
    </w:p>
    <w:p w:rsidR="0081545F" w:rsidRDefault="000D0401">
      <w:pPr>
        <w:pStyle w:val="Standard"/>
        <w:spacing w:line="420" w:lineRule="exact"/>
        <w:ind w:left="633" w:hanging="6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（三）因故未能成會。</w:t>
      </w:r>
    </w:p>
    <w:p w:rsidR="0081545F" w:rsidRDefault="000D0401">
      <w:pPr>
        <w:pStyle w:val="Standard"/>
        <w:spacing w:line="420" w:lineRule="exact"/>
        <w:ind w:left="633" w:hanging="6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（四）未親自出席，而以書面、錄音或錄影等方式提供意見。</w:t>
      </w:r>
    </w:p>
    <w:p w:rsidR="0081545F" w:rsidRDefault="000D0401">
      <w:pPr>
        <w:pStyle w:val="Standard"/>
        <w:spacing w:line="420" w:lineRule="exact"/>
        <w:ind w:left="633" w:hanging="6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（五）各機關學校人員出席其補助計畫、委辦計畫或受補助計畫之相關會議。</w:t>
      </w:r>
    </w:p>
    <w:p w:rsidR="0081545F" w:rsidRDefault="000D0401">
      <w:pPr>
        <w:pStyle w:val="Standard"/>
        <w:spacing w:line="420" w:lineRule="exact"/>
        <w:ind w:left="773" w:hanging="773"/>
        <w:jc w:val="both"/>
      </w:pPr>
      <w:r>
        <w:rPr>
          <w:rFonts w:ascii="標楷體" w:eastAsia="標楷體" w:hAnsi="標楷體" w:cs="標楷體"/>
          <w:sz w:val="28"/>
          <w:szCs w:val="28"/>
        </w:rPr>
        <w:t>（六）受委辦機關學校人員，已於委辦計畫內依參與事項分工列支主持費及研究費等酬勞。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五、出席費之支給，以每次會議新臺幣二千元為上限，由各機關學校視會議諮詢性質酌予支給。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六、依第二點規定邀請之學者專家，如係由遠地前往（三十公里以外），邀請機關學校得衡酌實際情況，參照國內出差旅費報支要點規定，覈實支給交通費及住宿費。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七、各機關學校依下列規定委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請專人或機構，進行撰稿、譯稿、編稿及審查等工作時，得依附表所定基準支給稿費：</w:t>
      </w:r>
    </w:p>
    <w:p w:rsidR="0081545F" w:rsidRDefault="000D0401">
      <w:pPr>
        <w:pStyle w:val="Standard"/>
        <w:spacing w:line="420" w:lineRule="exact"/>
        <w:ind w:left="896" w:hanging="8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（一）為處理與業務有關重要文件資料，經機關學校首長或其授權人核准，委由本機關學校以外人</w:t>
      </w:r>
      <w:r>
        <w:rPr>
          <w:rFonts w:ascii="標楷體" w:eastAsia="標楷體" w:hAnsi="標楷體" w:cs="標楷體"/>
          <w:sz w:val="28"/>
          <w:szCs w:val="28"/>
        </w:rPr>
        <w:t>員或機構辦理者。但依政府採購法規定辦理者，得不受附表所定基準之限制。</w:t>
      </w:r>
    </w:p>
    <w:p w:rsidR="0081545F" w:rsidRDefault="000D0401">
      <w:pPr>
        <w:pStyle w:val="Standard"/>
        <w:spacing w:line="420" w:lineRule="exact"/>
        <w:ind w:left="896" w:hanging="896"/>
        <w:jc w:val="both"/>
      </w:pPr>
      <w:r>
        <w:rPr>
          <w:rFonts w:ascii="標楷體" w:eastAsia="標楷體" w:hAnsi="標楷體" w:cs="標楷體"/>
          <w:sz w:val="28"/>
          <w:szCs w:val="28"/>
        </w:rPr>
        <w:t>（二）為發行刊物，邀請本機關學校以編譯為職掌以外人員辦理或公開徵求稿件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，經刊登者；</w:t>
      </w:r>
      <w:r>
        <w:rPr>
          <w:rFonts w:ascii="標楷體" w:eastAsia="標楷體" w:hAnsi="標楷體" w:cs="標楷體"/>
          <w:sz w:val="28"/>
          <w:szCs w:val="28"/>
        </w:rPr>
        <w:t>未經刊登者，僅得支給審查費，不得支給其他項目之稿費。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八、有下列情形之一者，不得支給稿費：</w:t>
      </w:r>
    </w:p>
    <w:p w:rsidR="0081545F" w:rsidRDefault="000D0401">
      <w:pPr>
        <w:pStyle w:val="Standard"/>
        <w:spacing w:line="420" w:lineRule="exact"/>
        <w:ind w:left="840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（一）各機關學校人員處理與本機關學校業務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包括辦理補助計畫、委辦計畫</w:t>
      </w:r>
      <w:r>
        <w:rPr>
          <w:rFonts w:ascii="標楷體" w:eastAsia="標楷體" w:hAnsi="標楷體" w:cs="標楷體"/>
          <w:sz w:val="28"/>
          <w:szCs w:val="28"/>
        </w:rPr>
        <w:lastRenderedPageBreak/>
        <w:t>及受補助計畫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有關文件資料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包括召開會議之資料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之撰稿、譯稿、編稿及審查等工作。</w:t>
      </w:r>
    </w:p>
    <w:p w:rsidR="0081545F" w:rsidRDefault="000D0401">
      <w:pPr>
        <w:pStyle w:val="Standard"/>
        <w:spacing w:line="420" w:lineRule="exact"/>
        <w:ind w:left="840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（二）應邀機關學校指派代表審查本機關學校召開會議之資料。</w:t>
      </w:r>
    </w:p>
    <w:p w:rsidR="0081545F" w:rsidRDefault="000D0401">
      <w:pPr>
        <w:pStyle w:val="Standard"/>
        <w:spacing w:line="420" w:lineRule="exact"/>
        <w:ind w:left="840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（三）發行刊物稿件內容係屬摘錄各機關學校相關法規、書籍、公文</w:t>
      </w:r>
      <w:r>
        <w:rPr>
          <w:rFonts w:ascii="標楷體" w:eastAsia="標楷體" w:hAnsi="標楷體" w:cs="標楷體"/>
          <w:sz w:val="28"/>
          <w:szCs w:val="28"/>
        </w:rPr>
        <w:t>等資料。</w:t>
      </w:r>
    </w:p>
    <w:p w:rsidR="0081545F" w:rsidRDefault="000D0401">
      <w:pPr>
        <w:pStyle w:val="Standard"/>
        <w:spacing w:line="420" w:lineRule="exact"/>
        <w:ind w:left="840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（四）本機關學校由以編譯為職掌人員辦理刊物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含受補助計畫辦理之刊物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之撰稿、譯稿、編稿及審查等工作。</w:t>
      </w:r>
    </w:p>
    <w:p w:rsidR="0081545F" w:rsidRDefault="000D0401">
      <w:pPr>
        <w:pStyle w:val="Standard"/>
        <w:spacing w:line="420" w:lineRule="exact"/>
        <w:ind w:left="896" w:hanging="8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（五）專題演講人員之書面演講資料及講座之授課教材。</w:t>
      </w:r>
    </w:p>
    <w:p w:rsidR="0081545F" w:rsidRDefault="000D0401">
      <w:pPr>
        <w:pStyle w:val="Standard"/>
        <w:spacing w:line="42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九、國營事業及非營業特種基金準用本要點之規定。</w:t>
      </w:r>
    </w:p>
    <w:p w:rsidR="0081545F" w:rsidRDefault="000D0401">
      <w:pPr>
        <w:pStyle w:val="Standard"/>
        <w:spacing w:line="420" w:lineRule="exact"/>
        <w:ind w:left="546" w:hanging="54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各級地方政府得參照本要點訂定相關規定；其未訂定者，準用本要點之規定。</w:t>
      </w:r>
    </w:p>
    <w:p w:rsidR="0081545F" w:rsidRDefault="0081545F">
      <w:pPr>
        <w:pStyle w:val="Standard"/>
        <w:rPr>
          <w:sz w:val="28"/>
          <w:szCs w:val="28"/>
        </w:rPr>
      </w:pPr>
    </w:p>
    <w:p w:rsidR="0081545F" w:rsidRDefault="0081545F">
      <w:pPr>
        <w:pStyle w:val="Standard"/>
      </w:pPr>
    </w:p>
    <w:p w:rsidR="0081545F" w:rsidRDefault="0081545F">
      <w:pPr>
        <w:pStyle w:val="Standard"/>
      </w:pPr>
    </w:p>
    <w:p w:rsidR="0081545F" w:rsidRDefault="0081545F">
      <w:pPr>
        <w:pStyle w:val="Standard"/>
      </w:pPr>
    </w:p>
    <w:sectPr w:rsidR="0081545F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01" w:rsidRDefault="000D0401">
      <w:pPr>
        <w:rPr>
          <w:rFonts w:hint="eastAsia"/>
        </w:rPr>
      </w:pPr>
      <w:r>
        <w:separator/>
      </w:r>
    </w:p>
  </w:endnote>
  <w:endnote w:type="continuationSeparator" w:id="0">
    <w:p w:rsidR="000D0401" w:rsidRDefault="000D04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FC" w:rsidRDefault="000D0401">
    <w:pPr>
      <w:pStyle w:val="a9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24AB1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01" w:rsidRDefault="000D04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0401" w:rsidRDefault="000D04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3E24"/>
    <w:multiLevelType w:val="multilevel"/>
    <w:tmpl w:val="328A481A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>
    <w:nsid w:val="23472358"/>
    <w:multiLevelType w:val="multilevel"/>
    <w:tmpl w:val="563251D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B9310E"/>
    <w:multiLevelType w:val="multilevel"/>
    <w:tmpl w:val="54803914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545F"/>
    <w:rsid w:val="000D0401"/>
    <w:rsid w:val="0081545F"/>
    <w:rsid w:val="00C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1B50E-E7B2-43AE-ACCC-55A33DD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Standard"/>
    <w:next w:val="Standard"/>
    <w:pPr>
      <w:jc w:val="right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b">
    <w:name w:val="annotation reference"/>
    <w:basedOn w:val="a0"/>
    <w:rPr>
      <w:sz w:val="18"/>
      <w:szCs w:val="18"/>
    </w:rPr>
  </w:style>
  <w:style w:type="character" w:styleId="ac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2015-06-16T17:18:00Z</cp:lastPrinted>
  <dcterms:created xsi:type="dcterms:W3CDTF">2017-01-04T01:44:00Z</dcterms:created>
  <dcterms:modified xsi:type="dcterms:W3CDTF">2017-01-04T01:44:00Z</dcterms:modified>
</cp:coreProperties>
</file>