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3F" w:rsidRPr="00D1693F" w:rsidRDefault="00D1693F" w:rsidP="00D1693F">
      <w:pPr>
        <w:widowControl/>
        <w:spacing w:after="216"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一、申請程序及日程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（一）計畫公告：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9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日（星期一），公告本校辦理科技校院</w:t>
      </w:r>
      <w:bookmarkStart w:id="0" w:name="OLE_LINK3"/>
      <w:bookmarkStart w:id="1" w:name="OLE_LINK4"/>
      <w:bookmarkStart w:id="2" w:name="_GoBack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繁星計畫</w:t>
      </w:r>
      <w:bookmarkEnd w:id="0"/>
      <w:bookmarkEnd w:id="1"/>
      <w:bookmarkEnd w:id="2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聯合推薦甄選校內評選實施計畫。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（二）校內評選報名：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13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、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14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日（星期一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~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二），凡符合資格之本校應屆畢業生，須填寫參加科技校院繁星計畫聯合推薦甄選校內評選申請表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(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如附件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1)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，繳交至</w:t>
      </w:r>
      <w:bookmarkStart w:id="3" w:name="OLE_LINK1"/>
      <w:bookmarkStart w:id="4" w:name="OLE_LINK2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教務</w:t>
      </w:r>
      <w:bookmarkEnd w:id="3"/>
      <w:bookmarkEnd w:id="4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組，並請報名者，針對第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6-7</w:t>
      </w:r>
      <w:proofErr w:type="gramStart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比序項目</w:t>
      </w:r>
      <w:proofErr w:type="gramEnd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提早進行資料準備。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（三）資格審查：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15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日（星期三）起，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教務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組於受理申請報名後，進行審查學生是否符合報名資格之規定。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（四）校內評選：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23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日（星期四）召開本校升學暨入學招生工作審查委員會議，依校內評選實施計畫進行書面資料評選；並於當日下午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5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時前於本校網頁【新聞公告】處公告被推薦同學名單。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（五）資料繳交：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3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日（星期一）下午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5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時止，被推薦同學繳交所有報名資料（請參閱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學年度科技校院繁星計畫聯合推薦甄選入學招生簡章，逾時不予收件或補件）至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教務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組。逾時視同放棄，由備取同學依序遞補。</w:t>
      </w:r>
    </w:p>
    <w:p w:rsidR="00D1693F" w:rsidRPr="00D1693F" w:rsidRDefault="00D1693F" w:rsidP="00D1693F">
      <w:pPr>
        <w:widowControl/>
        <w:spacing w:line="300" w:lineRule="auto"/>
        <w:ind w:leftChars="250" w:left="865" w:hangingChars="98" w:hanging="265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1.</w:t>
      </w:r>
      <w:proofErr w:type="gramStart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第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比序證明彙整表</w:t>
      </w:r>
      <w:proofErr w:type="gramEnd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(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如附件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2)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與各項競賽、證照及語文檢定等證明文件影本。</w:t>
      </w:r>
    </w:p>
    <w:p w:rsidR="00D1693F" w:rsidRPr="00D1693F" w:rsidRDefault="00D1693F" w:rsidP="00D1693F">
      <w:pPr>
        <w:widowControl/>
        <w:spacing w:line="300" w:lineRule="auto"/>
        <w:ind w:leftChars="250" w:left="865" w:hangingChars="98" w:hanging="265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2.</w:t>
      </w:r>
      <w:proofErr w:type="gramStart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第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7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比序證明彙整表</w:t>
      </w:r>
      <w:proofErr w:type="gramEnd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(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如附件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3)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與學校幹部、志工、社會服務及社團參與等證明文件影本（請洽學生事務處申請證明）。</w:t>
      </w:r>
    </w:p>
    <w:p w:rsidR="00D1693F" w:rsidRPr="00D1693F" w:rsidRDefault="00D1693F" w:rsidP="00D1693F">
      <w:pPr>
        <w:widowControl/>
        <w:spacing w:line="300" w:lineRule="auto"/>
        <w:ind w:left="867" w:hangingChars="321" w:hanging="867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（六）正式報名：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106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年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3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9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日（星期四）上午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10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時起至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3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15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日（星期四）下午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5</w:t>
      </w: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時止，被推薦同學</w:t>
      </w:r>
      <w:proofErr w:type="gramStart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完成線上報名</w:t>
      </w:r>
      <w:proofErr w:type="gramEnd"/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。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7"/>
          <w:szCs w:val="27"/>
        </w:rPr>
        <w:t>二、詳細內容請參閱附加檔案</w:t>
      </w:r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>。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1400"/>
      </w:tblGrid>
      <w:tr w:rsidR="00D1693F" w:rsidRPr="00D1693F" w:rsidTr="00D1693F">
        <w:trPr>
          <w:tblHeader/>
        </w:trPr>
        <w:tc>
          <w:tcPr>
            <w:tcW w:w="8610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1693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  <w:t>附加檔案</w:t>
            </w:r>
          </w:p>
        </w:tc>
        <w:tc>
          <w:tcPr>
            <w:tcW w:w="1650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1693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  <w:t>大小</w:t>
            </w:r>
          </w:p>
        </w:tc>
      </w:tr>
    </w:tbl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1"/>
        <w:gridCol w:w="1325"/>
      </w:tblGrid>
      <w:tr w:rsidR="00D1693F" w:rsidRPr="00D1693F" w:rsidTr="00D1693F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1693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  <w:t>附加檔案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D1693F">
              <w:rPr>
                <w:rFonts w:ascii="Arial" w:eastAsia="新細明體" w:hAnsi="Arial" w:cs="Arial"/>
                <w:b/>
                <w:bCs/>
                <w:color w:val="222222"/>
                <w:kern w:val="0"/>
                <w:sz w:val="20"/>
                <w:szCs w:val="20"/>
              </w:rPr>
              <w:t>大小</w:t>
            </w:r>
          </w:p>
        </w:tc>
      </w:tr>
      <w:tr w:rsidR="00D1693F" w:rsidRPr="00D1693F" w:rsidTr="00D1693F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</w:pPr>
            <w:hyperlink r:id="rId5" w:history="1">
              <w:r w:rsidRPr="00D1693F">
                <w:rPr>
                  <w:rFonts w:ascii="Arial" w:eastAsia="新細明體" w:hAnsi="Arial" w:cs="Arial"/>
                  <w:color w:val="222222"/>
                  <w:kern w:val="0"/>
                  <w:sz w:val="20"/>
                  <w:szCs w:val="20"/>
                </w:rPr>
                <w:t>1060109_106</w:t>
              </w:r>
              <w:r w:rsidRPr="00D1693F">
                <w:rPr>
                  <w:rFonts w:ascii="Arial" w:eastAsia="新細明體" w:hAnsi="Arial" w:cs="Arial"/>
                  <w:color w:val="222222"/>
                  <w:kern w:val="0"/>
                  <w:sz w:val="20"/>
                  <w:szCs w:val="20"/>
                </w:rPr>
                <w:t>學年度科技校院繁星校內評選實施計畫</w:t>
              </w:r>
              <w:r w:rsidRPr="00D1693F">
                <w:rPr>
                  <w:rFonts w:ascii="Arial" w:eastAsia="新細明體" w:hAnsi="Arial" w:cs="Arial"/>
                  <w:color w:val="222222"/>
                  <w:kern w:val="0"/>
                  <w:sz w:val="20"/>
                  <w:szCs w:val="20"/>
                </w:rPr>
                <w:t>(</w:t>
              </w:r>
              <w:r w:rsidRPr="00D1693F">
                <w:rPr>
                  <w:rFonts w:ascii="Arial" w:eastAsia="新細明體" w:hAnsi="Arial" w:cs="Arial"/>
                  <w:color w:val="222222"/>
                  <w:kern w:val="0"/>
                  <w:sz w:val="20"/>
                  <w:szCs w:val="20"/>
                </w:rPr>
                <w:t>公告</w:t>
              </w:r>
              <w:r w:rsidRPr="00D1693F">
                <w:rPr>
                  <w:rFonts w:ascii="Arial" w:eastAsia="新細明體" w:hAnsi="Arial" w:cs="Arial"/>
                  <w:color w:val="222222"/>
                  <w:kern w:val="0"/>
                  <w:sz w:val="20"/>
                  <w:szCs w:val="20"/>
                </w:rPr>
                <w:t>).pdf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1693F" w:rsidRPr="00D1693F" w:rsidRDefault="00D1693F" w:rsidP="00D1693F">
            <w:pPr>
              <w:widowControl/>
              <w:spacing w:line="300" w:lineRule="auto"/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</w:pPr>
            <w:r w:rsidRPr="00D1693F">
              <w:rPr>
                <w:rFonts w:ascii="Arial" w:eastAsia="新細明體" w:hAnsi="Arial" w:cs="Arial"/>
                <w:color w:val="222222"/>
                <w:kern w:val="0"/>
                <w:sz w:val="20"/>
                <w:szCs w:val="20"/>
              </w:rPr>
              <w:t>698.71 KB</w:t>
            </w:r>
          </w:p>
        </w:tc>
      </w:tr>
    </w:tbl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FFFFFF"/>
          <w:kern w:val="0"/>
          <w:sz w:val="20"/>
          <w:szCs w:val="20"/>
        </w:rPr>
        <w:t>:::</w:t>
      </w:r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lastRenderedPageBreak/>
        <w:drawing>
          <wp:inline distT="0" distB="0" distL="0" distR="0">
            <wp:extent cx="1428750" cy="476250"/>
            <wp:effectExtent l="0" t="0" r="0" b="0"/>
            <wp:docPr id="34" name="圖片 34" descr="http://www.saihs.edu.tw/sites/default/files/image/edutraval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hs.edu.tw/sites/default/files/image/edutraval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33" name="圖片 33" descr="松山工農圖書館館藏查詢(開新視窗)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松山工農圖書館館藏查詢(開新視窗)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32" name="圖片 32" descr="http://www.saihs.edu.tw/sites/default/files/image/105wintest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hs.edu.tw/sites/default/files/image/105wintest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571500"/>
            <wp:effectExtent l="0" t="0" r="0" b="0"/>
            <wp:docPr id="31" name="圖片 31" descr="松山工農教甄專區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松山工農教甄專區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30" name="圖片 30" descr="松山工農高職優質化專區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松山工農高職優質化專區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9" name="圖片 29" descr="松山工農校園無障礙專區(開新視窗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松山工農校園無障礙專區(開新視窗)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8" name="圖片 28" descr="松山工農校園安全地圖(開新視窗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松山工農校園安全地圖(開新視窗)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7" name="圖片 27" descr="松山工農性別平等專區(開新視窗)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松山工農性別平等專區(開新視窗)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6" name="圖片 26" descr="松山工農反霸凌專區(開新視窗)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松山工農反霸凌專區(開新視窗)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38275" cy="485775"/>
            <wp:effectExtent l="0" t="0" r="9525" b="9525"/>
            <wp:docPr id="25" name="圖片 25" descr="獎助學金專區(開新視窗)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獎助學金專區(開新視窗)">
                      <a:hlinkClick r:id="rId2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533525" cy="485775"/>
            <wp:effectExtent l="0" t="0" r="9525" b="9525"/>
            <wp:docPr id="24" name="圖片 24" descr="高三升學資訊專欄(開新視窗)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高三升學資訊專欄(開新視窗)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3" name="圖片 23" descr="http://www.saihs.edu.tw/sites/default/files/image/106pra01.pn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ihs.edu.tw/sites/default/files/image/106pra01.png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2" name="圖片 22" descr="技藝教育資源中心(開新視窗)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技藝教育資源中心(開新視窗)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lastRenderedPageBreak/>
        <w:drawing>
          <wp:inline distT="0" distB="0" distL="0" distR="0">
            <wp:extent cx="1428750" cy="476250"/>
            <wp:effectExtent l="0" t="0" r="0" b="0"/>
            <wp:docPr id="21" name="圖片 21" descr="臺北市國中技藝競賽(開新視窗)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臺北市國中技藝競賽(開新視窗)">
                      <a:hlinkClick r:id="rId3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571500"/>
            <wp:effectExtent l="0" t="0" r="0" b="0"/>
            <wp:docPr id="20" name="圖片 20" descr="松山工農家庭教育網(開新視窗)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松山工農家庭教育網(開新視窗)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9" name="圖片 19" descr="環境暨防災教育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環境暨防災教育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8" name="圖片 18" descr="松山工農教育儲蓄戶專區(開新視窗)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松山工農教育儲蓄戶專區(開新視窗)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numPr>
          <w:ilvl w:val="0"/>
          <w:numId w:val="1"/>
        </w:numPr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514350"/>
            <wp:effectExtent l="0" t="0" r="0" b="0"/>
            <wp:docPr id="17" name="圖片 17" descr="預決算書公開專區(開新視窗)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預決算書公開專區(開新視窗)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6" name="圖片 16" descr="1999臺北市民當家熱線(開新視窗)">
              <a:hlinkClick xmlns:a="http://schemas.openxmlformats.org/drawingml/2006/main" r:id="rId4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999臺北市民當家熱線(開新視窗)">
                      <a:hlinkClick r:id="rId4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5" name="圖片 15" descr="綠色生活資訊網(開新視窗)">
              <a:hlinkClick xmlns:a="http://schemas.openxmlformats.org/drawingml/2006/main" r:id="rId4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綠色生活資訊網(開新視窗)">
                      <a:hlinkClick r:id="rId4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4" name="圖片 14" descr="臺北市即時交通資訊網(開新視窗)">
              <a:hlinkClick xmlns:a="http://schemas.openxmlformats.org/drawingml/2006/main" r:id="rId4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臺北市即時交通資訊網(開新視窗)">
                      <a:hlinkClick r:id="rId4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3" name="圖片 13" descr="臺北市學校營養教育網站(開新視窗)">
              <a:hlinkClick xmlns:a="http://schemas.openxmlformats.org/drawingml/2006/main" r:id="rId4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臺北市學校營養教育網站(開新視窗)">
                      <a:hlinkClick r:id="rId4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2" name="圖片 12" descr="樂動少年養成計劃(開新視窗)">
              <a:hlinkClick xmlns:a="http://schemas.openxmlformats.org/drawingml/2006/main" r:id="rId5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樂動少年養成計劃(開新視窗)">
                      <a:hlinkClick r:id="rId5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1" name="圖片 11" descr="臺北市學習型城市網(開新視窗)">
              <a:hlinkClick xmlns:a="http://schemas.openxmlformats.org/drawingml/2006/main" r:id="rId5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臺北市學習型城市網(開新視窗)">
                      <a:hlinkClick r:id="rId5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10" name="圖片 10" descr="人權大步走(開新視窗)">
              <a:hlinkClick xmlns:a="http://schemas.openxmlformats.org/drawingml/2006/main" r:id="rId5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人權大步走(開新視窗)">
                      <a:hlinkClick r:id="rId5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647700"/>
            <wp:effectExtent l="0" t="0" r="0" b="0"/>
            <wp:docPr id="9" name="圖片 9" descr="紫錐花運動網站(開新視窗)">
              <a:hlinkClick xmlns:a="http://schemas.openxmlformats.org/drawingml/2006/main" r:id="rId5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紫錐花運動網站(開新視窗)">
                      <a:hlinkClick r:id="rId5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524000" cy="638175"/>
            <wp:effectExtent l="0" t="0" r="0" b="9525"/>
            <wp:docPr id="8" name="圖片 8" descr="臺北市新移民專區(開新視窗)">
              <a:hlinkClick xmlns:a="http://schemas.openxmlformats.org/drawingml/2006/main" r:id="rId5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臺北市新移民專區(開新視窗)">
                      <a:hlinkClick r:id="rId5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524000" cy="762000"/>
            <wp:effectExtent l="0" t="0" r="0" b="0"/>
            <wp:docPr id="7" name="圖片 7" descr="十二年國民基本教育(開新視窗)">
              <a:hlinkClick xmlns:a="http://schemas.openxmlformats.org/drawingml/2006/main" r:id="rId6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十二年國民基本教育(開新視窗)">
                      <a:hlinkClick r:id="rId6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524000" cy="571500"/>
            <wp:effectExtent l="0" t="0" r="0" b="0"/>
            <wp:docPr id="6" name="圖片 6" descr="台灣青年Fun眼世界主題網站(開新視窗)">
              <a:hlinkClick xmlns:a="http://schemas.openxmlformats.org/drawingml/2006/main" r:id="rId6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台灣青年Fun眼世界主題網站(開新視窗)">
                      <a:hlinkClick r:id="rId6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38150"/>
            <wp:effectExtent l="0" t="0" r="0" b="0"/>
            <wp:docPr id="5" name="圖片 5" descr="中小學教師專業發展整合平台(開新視窗)">
              <a:hlinkClick xmlns:a="http://schemas.openxmlformats.org/drawingml/2006/main" r:id="rId6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中小學教師專業發展整合平台(開新視窗)">
                      <a:hlinkClick r:id="rId6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66725"/>
            <wp:effectExtent l="0" t="0" r="0" b="9525"/>
            <wp:docPr id="4" name="圖片 4" descr="建築物防墜安全宣導手冊(開新視窗)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建築物防墜安全宣導手冊(開新視窗)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533400"/>
            <wp:effectExtent l="0" t="0" r="0" b="0"/>
            <wp:docPr id="3" name="圖片 3" descr="戶政司24小時電子戶籍謄本申辦功能(開新視窗)">
              <a:hlinkClick xmlns:a="http://schemas.openxmlformats.org/drawingml/2006/main" r:id="rId6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戶政司24小時電子戶籍謄本申辦功能(開新視窗)">
                      <a:hlinkClick r:id="rId6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476250"/>
            <wp:effectExtent l="0" t="0" r="0" b="0"/>
            <wp:docPr id="2" name="圖片 2" descr="臺北酷課雲(開新視窗)">
              <a:hlinkClick xmlns:a="http://schemas.openxmlformats.org/drawingml/2006/main" r:id="rId7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臺北酷課雲(開新視窗)">
                      <a:hlinkClick r:id="rId7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vanish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noProof/>
          <w:vanish/>
          <w:color w:val="222222"/>
          <w:kern w:val="0"/>
          <w:sz w:val="20"/>
          <w:szCs w:val="20"/>
        </w:rPr>
        <w:drawing>
          <wp:inline distT="0" distB="0" distL="0" distR="0">
            <wp:extent cx="1428750" cy="571500"/>
            <wp:effectExtent l="0" t="0" r="0" b="0"/>
            <wp:docPr id="1" name="圖片 1" descr="5F愛家新觀念(開新視窗)">
              <a:hlinkClick xmlns:a="http://schemas.openxmlformats.org/drawingml/2006/main" r:id="rId7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5F愛家新觀念(開新視窗)">
                      <a:hlinkClick r:id="rId7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F" w:rsidRPr="00D1693F" w:rsidRDefault="00D1693F" w:rsidP="00D1693F">
      <w:pPr>
        <w:widowControl/>
        <w:spacing w:line="300" w:lineRule="auto"/>
        <w:jc w:val="right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4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全部公務廣告</w:t>
        </w:r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 xml:space="preserve"> </w:t>
        </w:r>
      </w:hyperlink>
    </w:p>
    <w:p w:rsidR="00D1693F" w:rsidRPr="00D1693F" w:rsidRDefault="00D1693F" w:rsidP="00D1693F">
      <w:pPr>
        <w:widowControl/>
        <w:spacing w:line="300" w:lineRule="auto"/>
        <w:outlineLvl w:val="1"/>
        <w:rPr>
          <w:rFonts w:ascii="Arial" w:eastAsia="新細明體" w:hAnsi="Arial" w:cs="Arial"/>
          <w:b/>
          <w:bCs/>
          <w:color w:val="222222"/>
          <w:kern w:val="0"/>
          <w:sz w:val="25"/>
          <w:szCs w:val="25"/>
        </w:rPr>
      </w:pPr>
      <w:r w:rsidRPr="00D1693F">
        <w:rPr>
          <w:rFonts w:ascii="Arial" w:eastAsia="新細明體" w:hAnsi="Arial" w:cs="Arial"/>
          <w:b/>
          <w:bCs/>
          <w:color w:val="222222"/>
          <w:kern w:val="0"/>
          <w:sz w:val="25"/>
          <w:szCs w:val="25"/>
        </w:rPr>
        <w:t>宣導網站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5" w:tgtFrame="_blank" w:tooltip="全民監督公共工程資訊系統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全民監督公共工程資訊系統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w:tgtFrame="_blank" w:tooltip="「台北悠活體驗館」網站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「台北悠活體驗館」網站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6" w:tgtFrame="_blank" w:tooltip="全民監督公共工程資訊系統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全民監督公共工程資訊系統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7" w:tgtFrame="_blank" w:tooltip="青年圓夢網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青年圓夢網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8" w:tgtFrame="_blank" w:tooltip="財團法人台北市政府教育局認助清寒學生基金會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財團法人台北市政府教育局認助清寒學生基金會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79" w:tgtFrame="_blank" w:tooltip="士林地檢署反賄選專區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士林地檢署反賄選專區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80" w:tgtFrame="_blank" w:tooltip="助你好孕網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助你</w:t>
        </w:r>
        <w:proofErr w:type="gramStart"/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好孕網</w:t>
        </w:r>
        <w:proofErr w:type="gramEnd"/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81" w:tgtFrame="_blank" w:tooltip="消防署防範一氧化碳中毒宣導網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消防署防範一氧化碳中毒宣導網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82" w:tgtFrame="_blank" w:tooltip="消防署水域遊憩活動安全資訊網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消防署水域遊憩活動安全資訊網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83" w:tgtFrame="_blank" w:tooltip="交通部觀光局水域活動安全宣導 (另開新視窗)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交通部觀光局水域活動安全宣導</w:t>
        </w:r>
      </w:hyperlink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 xml:space="preserve"> </w:t>
      </w:r>
    </w:p>
    <w:p w:rsidR="00D1693F" w:rsidRPr="00D1693F" w:rsidRDefault="00D1693F" w:rsidP="00D1693F">
      <w:pPr>
        <w:widowControl/>
        <w:spacing w:line="300" w:lineRule="auto"/>
        <w:jc w:val="right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hyperlink r:id="rId84" w:history="1"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>全部宣導網站</w:t>
        </w:r>
        <w:r w:rsidRPr="00D1693F">
          <w:rPr>
            <w:rFonts w:ascii="Arial" w:eastAsia="新細明體" w:hAnsi="Arial" w:cs="Arial"/>
            <w:color w:val="222222"/>
            <w:kern w:val="0"/>
            <w:sz w:val="20"/>
            <w:szCs w:val="20"/>
          </w:rPr>
          <w:t xml:space="preserve">...... </w:t>
        </w:r>
      </w:hyperlink>
    </w:p>
    <w:p w:rsidR="00D1693F" w:rsidRPr="00D1693F" w:rsidRDefault="00D1693F" w:rsidP="00D1693F">
      <w:pPr>
        <w:widowControl/>
        <w:numPr>
          <w:ilvl w:val="0"/>
          <w:numId w:val="2"/>
        </w:numPr>
        <w:spacing w:line="300" w:lineRule="auto"/>
        <w:ind w:left="360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D1693F">
        <w:rPr>
          <w:rFonts w:ascii="Arial" w:eastAsia="新細明體" w:hAnsi="Arial" w:cs="Arial"/>
          <w:color w:val="222222"/>
          <w:kern w:val="0"/>
          <w:sz w:val="20"/>
          <w:szCs w:val="20"/>
        </w:rPr>
        <w:t>訪客人次：</w:t>
      </w:r>
      <w:r w:rsidRPr="00D1693F">
        <w:rPr>
          <w:rFonts w:ascii="Arial" w:eastAsia="新細明體" w:hAnsi="Arial" w:cs="Arial"/>
          <w:i/>
          <w:iCs/>
          <w:color w:val="222222"/>
          <w:kern w:val="0"/>
          <w:sz w:val="20"/>
          <w:szCs w:val="20"/>
        </w:rPr>
        <w:t>40588463</w:t>
      </w:r>
    </w:p>
    <w:p w:rsidR="000E2D6E" w:rsidRDefault="000E2D6E"/>
    <w:sectPr w:rsidR="000E2D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F3D"/>
    <w:multiLevelType w:val="multilevel"/>
    <w:tmpl w:val="38C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1CC5"/>
    <w:multiLevelType w:val="multilevel"/>
    <w:tmpl w:val="E17A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F"/>
    <w:rsid w:val="000E2D6E"/>
    <w:rsid w:val="00D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155BB-8F76-41A5-AE3E-A69AE92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1693F"/>
    <w:pPr>
      <w:widowControl/>
      <w:spacing w:before="150" w:after="150"/>
      <w:outlineLvl w:val="1"/>
    </w:pPr>
    <w:rPr>
      <w:rFonts w:ascii="新細明體" w:eastAsia="新細明體" w:hAnsi="新細明體" w:cs="新細明體"/>
      <w:b/>
      <w:bCs/>
      <w:color w:val="0064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1693F"/>
    <w:rPr>
      <w:rFonts w:ascii="新細明體" w:eastAsia="新細明體" w:hAnsi="新細明體" w:cs="新細明體"/>
      <w:b/>
      <w:bCs/>
      <w:color w:val="006400"/>
      <w:kern w:val="0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693F"/>
    <w:rPr>
      <w:strike w:val="0"/>
      <w:dstrike w:val="0"/>
      <w:color w:val="222222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1693F"/>
    <w:pPr>
      <w:widowControl/>
      <w:spacing w:before="120" w:after="216"/>
    </w:pPr>
    <w:rPr>
      <w:rFonts w:ascii="新細明體" w:eastAsia="新細明體" w:hAnsi="新細明體" w:cs="新細明體"/>
      <w:kern w:val="0"/>
      <w:szCs w:val="24"/>
    </w:rPr>
  </w:style>
  <w:style w:type="character" w:customStyle="1" w:styleId="field-content">
    <w:name w:val="field-content"/>
    <w:basedOn w:val="a0"/>
    <w:rsid w:val="00D1693F"/>
  </w:style>
  <w:style w:type="character" w:styleId="a4">
    <w:name w:val="Emphasis"/>
    <w:basedOn w:val="a0"/>
    <w:uiPriority w:val="20"/>
    <w:qFormat/>
    <w:rsid w:val="00D1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78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74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9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8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8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4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6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9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3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1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7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5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2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8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571306">
                                          <w:marLeft w:val="0"/>
                                          <w:marRight w:val="-30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467379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4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43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19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74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50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78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1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1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78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7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352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15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23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2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58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89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0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8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60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1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07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84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91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4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3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1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46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13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8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6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61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264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6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8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29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73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4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596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6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61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9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56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9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09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1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2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2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7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29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57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5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94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6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eb.saihs.edu.tw/safe/" TargetMode="External"/><Relationship Id="rId26" Type="http://schemas.openxmlformats.org/officeDocument/2006/relationships/hyperlink" Target="http://w3.saihs.edu.tw/aca_reg/advance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jpeg"/><Relationship Id="rId34" Type="http://schemas.openxmlformats.org/officeDocument/2006/relationships/hyperlink" Target="http://cweb.saihs.edu.tw/editor_model/u_editor_v1.asp?id=%7B53FF8A2A-C6AE-4356-93B9-AA944A6D1BD0%7D" TargetMode="External"/><Relationship Id="rId42" Type="http://schemas.openxmlformats.org/officeDocument/2006/relationships/hyperlink" Target="https://contact.taipei.gov.tw/Web1999/CLMG000001999.ASPX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2.jtf.org.tw/psyche/young/index.htm" TargetMode="External"/><Relationship Id="rId55" Type="http://schemas.openxmlformats.org/officeDocument/2006/relationships/image" Target="media/image25.gif"/><Relationship Id="rId63" Type="http://schemas.openxmlformats.org/officeDocument/2006/relationships/image" Target="media/image29.jpeg"/><Relationship Id="rId68" Type="http://schemas.openxmlformats.org/officeDocument/2006/relationships/hyperlink" Target="https://www.ris.gov.tw/webapply/16" TargetMode="External"/><Relationship Id="rId76" Type="http://schemas.openxmlformats.org/officeDocument/2006/relationships/hyperlink" Target="http://cmdweb.pcc.gov.tw/pccms/pwreport/ducon2_geoeng.pasin%20" TargetMode="External"/><Relationship Id="rId84" Type="http://schemas.openxmlformats.org/officeDocument/2006/relationships/hyperlink" Target="http://www.saihs.edu.tw/olinks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hyperlink" Target="http://cweb.saihs.edu.tw/editor_model/u_editor_v1.asp?id=%7b48991BB4-E588-47F1-AEF8-8D71A2CEC962%7d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jpeg"/><Relationship Id="rId24" Type="http://schemas.openxmlformats.org/officeDocument/2006/relationships/hyperlink" Target="http://w3.saihs.edu.tw/aca_reg/scholarships" TargetMode="External"/><Relationship Id="rId32" Type="http://schemas.openxmlformats.org/officeDocument/2006/relationships/hyperlink" Target="http://cweb.saihs.edu.tw/web/skillcompetition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saihs.edu.tw/node/8784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gif"/><Relationship Id="rId58" Type="http://schemas.openxmlformats.org/officeDocument/2006/relationships/hyperlink" Target="http://www.nit.taipei.gov.tw/mp.asp?mp=102161" TargetMode="External"/><Relationship Id="rId66" Type="http://schemas.openxmlformats.org/officeDocument/2006/relationships/hyperlink" Target="http://www.saihs.edu.tw/file/download/10270" TargetMode="External"/><Relationship Id="rId74" Type="http://schemas.openxmlformats.org/officeDocument/2006/relationships/hyperlink" Target="http://www.saihs.edu.tw/ad" TargetMode="External"/><Relationship Id="rId79" Type="http://schemas.openxmlformats.org/officeDocument/2006/relationships/hyperlink" Target="http://www.slc.moj.gov.tw/np.asp?ctNode=29256&amp;mp=010%20" TargetMode="External"/><Relationship Id="rId5" Type="http://schemas.openxmlformats.org/officeDocument/2006/relationships/hyperlink" Target="http://www.saihs.edu.tw/file/download/15976" TargetMode="External"/><Relationship Id="rId61" Type="http://schemas.openxmlformats.org/officeDocument/2006/relationships/image" Target="media/image28.jpeg"/><Relationship Id="rId82" Type="http://schemas.openxmlformats.org/officeDocument/2006/relationships/hyperlink" Target="http://www.nfa.gov.tw/main/Unit.aspx?ID=&amp;MenuID=548&amp;ListID=380%2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web.saihs.edu.tw/web/excellent/" TargetMode="External"/><Relationship Id="rId22" Type="http://schemas.openxmlformats.org/officeDocument/2006/relationships/hyperlink" Target="http://cweb.saihs.edu.tw/editor_model/u_editor_v1.asp?id=%7bE5201859-FCC9-46C8-B03B-8B7FB6095C32%7d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cweb.saihs.edu.tw/web/skillcenter/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eatingright.tp.edu.tw/student/" TargetMode="External"/><Relationship Id="rId56" Type="http://schemas.openxmlformats.org/officeDocument/2006/relationships/hyperlink" Target="http://enc.moe.edu.tw/index.php" TargetMode="External"/><Relationship Id="rId64" Type="http://schemas.openxmlformats.org/officeDocument/2006/relationships/hyperlink" Target="http://teachernet.moe.edu.tw/MAIN/index.aspx" TargetMode="External"/><Relationship Id="rId69" Type="http://schemas.openxmlformats.org/officeDocument/2006/relationships/image" Target="media/image32.jpeg"/><Relationship Id="rId77" Type="http://schemas.openxmlformats.org/officeDocument/2006/relationships/hyperlink" Target="http://young.ejob.gov.tw/ejob/html/index.html%20" TargetMode="External"/><Relationship Id="rId8" Type="http://schemas.openxmlformats.org/officeDocument/2006/relationships/hyperlink" Target="http://www.lib.saihs.edu.tw/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://bola.gov.taipei/ct.asp?xItem=221217746&amp;ctNode=63267&amp;mp=116003" TargetMode="External"/><Relationship Id="rId80" Type="http://schemas.openxmlformats.org/officeDocument/2006/relationships/hyperlink" Target="http://www.born.taipei.gov.tw/%2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3.saihs.edu.tw/teacherexa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://w3.saihs.edu.tw/savefund" TargetMode="External"/><Relationship Id="rId46" Type="http://schemas.openxmlformats.org/officeDocument/2006/relationships/hyperlink" Target="http://its.taipei.gov.tw/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cweb.saihs.edu.tw/web/gender/default.asp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www.humanrights.moj.gov.tw/" TargetMode="External"/><Relationship Id="rId62" Type="http://schemas.openxmlformats.org/officeDocument/2006/relationships/hyperlink" Target="http://youthtaiwan.net/mp.asp?mp=1603" TargetMode="External"/><Relationship Id="rId70" Type="http://schemas.openxmlformats.org/officeDocument/2006/relationships/hyperlink" Target="http://cooc.tp.edu.tw/" TargetMode="External"/><Relationship Id="rId75" Type="http://schemas.openxmlformats.org/officeDocument/2006/relationships/hyperlink" Target="http://cmdweb.pcc.gov.tw/pccms/pwreport/ducon2_geoeng.pasin%20" TargetMode="External"/><Relationship Id="rId83" Type="http://schemas.openxmlformats.org/officeDocument/2006/relationships/hyperlink" Target="http://admin.taiwan.net.tw/public/public.aspx?no=201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web.saihs.edu.tw/web/edutraval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cweb.saihs.edu.tw/web/pra01/" TargetMode="External"/><Relationship Id="rId36" Type="http://schemas.openxmlformats.org/officeDocument/2006/relationships/hyperlink" Target="http://www.saihs.edu.tw/node/4542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10" Type="http://schemas.openxmlformats.org/officeDocument/2006/relationships/hyperlink" Target="http://192.192.135.131/reexam/login.php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://greenliving.epa.gov.tw/" TargetMode="External"/><Relationship Id="rId52" Type="http://schemas.openxmlformats.org/officeDocument/2006/relationships/hyperlink" Target="http://www.lct.tp.edu.tw/" TargetMode="External"/><Relationship Id="rId60" Type="http://schemas.openxmlformats.org/officeDocument/2006/relationships/hyperlink" Target="http://12basic.edu.tw/index.php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78" Type="http://schemas.openxmlformats.org/officeDocument/2006/relationships/hyperlink" Target="http://203.71.210.5/aid_fund/index.html%20" TargetMode="External"/><Relationship Id="rId81" Type="http://schemas.openxmlformats.org/officeDocument/2006/relationships/hyperlink" Target="http://www.nfa.gov.tw/main/Unit.aspx?ID=&amp;MenuID=500&amp;ListID=315%20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2017-01-25T11:57:00Z</dcterms:created>
  <dcterms:modified xsi:type="dcterms:W3CDTF">2017-01-25T12:02:00Z</dcterms:modified>
</cp:coreProperties>
</file>